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7E59A" w14:textId="77777777" w:rsidR="00C927AF" w:rsidRDefault="00C927AF" w:rsidP="00C927AF">
      <w:pPr>
        <w:pStyle w:val="NoSpacing"/>
        <w:jc w:val="center"/>
        <w:rPr>
          <w:b/>
          <w:sz w:val="28"/>
          <w:szCs w:val="28"/>
        </w:rPr>
      </w:pPr>
      <w:r w:rsidRPr="0005462C">
        <w:rPr>
          <w:b/>
          <w:sz w:val="28"/>
          <w:szCs w:val="28"/>
        </w:rPr>
        <w:t>NORTHERN VIRGINIA TRANSPORTATION AUTHORITY</w:t>
      </w:r>
    </w:p>
    <w:p w14:paraId="791022C1" w14:textId="77777777" w:rsidR="00740CC8" w:rsidRDefault="00740CC8" w:rsidP="00C927AF">
      <w:pPr>
        <w:pStyle w:val="NoSpacing"/>
        <w:jc w:val="center"/>
        <w:rPr>
          <w:b/>
          <w:sz w:val="28"/>
          <w:szCs w:val="28"/>
        </w:rPr>
      </w:pPr>
    </w:p>
    <w:p w14:paraId="7B122FD5" w14:textId="77777777" w:rsidR="00C927AF" w:rsidRDefault="00C927AF" w:rsidP="00C927AF">
      <w:pPr>
        <w:pStyle w:val="NoSpacing"/>
        <w:jc w:val="center"/>
        <w:rPr>
          <w:u w:val="single"/>
        </w:rPr>
      </w:pPr>
      <w:r w:rsidRPr="0005462C">
        <w:rPr>
          <w:b/>
          <w:sz w:val="24"/>
          <w:szCs w:val="24"/>
          <w:u w:val="single"/>
        </w:rPr>
        <w:t>M E M O R A N D U M</w:t>
      </w:r>
    </w:p>
    <w:p w14:paraId="03C209F9" w14:textId="77777777" w:rsidR="00C927AF" w:rsidRDefault="00C927AF" w:rsidP="00C927AF">
      <w:pPr>
        <w:pStyle w:val="NoSpacing"/>
        <w:jc w:val="center"/>
        <w:rPr>
          <w:u w:val="single"/>
        </w:rPr>
      </w:pPr>
    </w:p>
    <w:p w14:paraId="59F0F5D9" w14:textId="77777777" w:rsidR="006965AF" w:rsidRDefault="0020705A" w:rsidP="001628F4">
      <w:pPr>
        <w:spacing w:line="240" w:lineRule="auto"/>
        <w:contextualSpacing/>
        <w:rPr>
          <w:rFonts w:cs="Times New Roman"/>
          <w:sz w:val="24"/>
          <w:szCs w:val="24"/>
        </w:rPr>
      </w:pPr>
      <w:r w:rsidRPr="001628F4">
        <w:rPr>
          <w:b/>
          <w:sz w:val="24"/>
          <w:szCs w:val="24"/>
        </w:rPr>
        <w:t>TO</w:t>
      </w:r>
      <w:r w:rsidR="00C927AF" w:rsidRPr="001628F4">
        <w:rPr>
          <w:b/>
          <w:sz w:val="24"/>
          <w:szCs w:val="24"/>
        </w:rPr>
        <w:t>:</w:t>
      </w:r>
      <w:r w:rsidR="00C927AF" w:rsidRPr="001628F4">
        <w:rPr>
          <w:b/>
          <w:sz w:val="24"/>
          <w:szCs w:val="24"/>
        </w:rPr>
        <w:tab/>
      </w:r>
      <w:r w:rsidR="00C927AF" w:rsidRPr="001628F4">
        <w:rPr>
          <w:b/>
          <w:sz w:val="24"/>
          <w:szCs w:val="24"/>
        </w:rPr>
        <w:tab/>
      </w:r>
      <w:r w:rsidR="0061467C" w:rsidRPr="001628F4">
        <w:rPr>
          <w:rFonts w:cs="Times New Roman"/>
          <w:sz w:val="24"/>
          <w:szCs w:val="24"/>
        </w:rPr>
        <w:t>Chai</w:t>
      </w:r>
      <w:r w:rsidR="00C7006C" w:rsidRPr="001628F4">
        <w:rPr>
          <w:rFonts w:cs="Times New Roman"/>
          <w:sz w:val="24"/>
          <w:szCs w:val="24"/>
        </w:rPr>
        <w:t xml:space="preserve">rman </w:t>
      </w:r>
      <w:r w:rsidR="006965AF">
        <w:rPr>
          <w:rFonts w:cs="Times New Roman"/>
          <w:sz w:val="24"/>
          <w:szCs w:val="24"/>
        </w:rPr>
        <w:t xml:space="preserve">Martin E. Nohe </w:t>
      </w:r>
      <w:r w:rsidR="00C7006C" w:rsidRPr="001628F4">
        <w:rPr>
          <w:rFonts w:cs="Times New Roman"/>
          <w:sz w:val="24"/>
          <w:szCs w:val="24"/>
        </w:rPr>
        <w:t>and Members</w:t>
      </w:r>
    </w:p>
    <w:p w14:paraId="46055838" w14:textId="08F22BBD" w:rsidR="00C927AF" w:rsidRDefault="0061467C" w:rsidP="006965AF">
      <w:pPr>
        <w:spacing w:line="240" w:lineRule="auto"/>
        <w:ind w:left="720" w:firstLine="720"/>
        <w:contextualSpacing/>
        <w:rPr>
          <w:sz w:val="24"/>
          <w:szCs w:val="24"/>
        </w:rPr>
      </w:pPr>
      <w:r w:rsidRPr="001628F4">
        <w:rPr>
          <w:rFonts w:cs="Times New Roman"/>
          <w:sz w:val="24"/>
          <w:szCs w:val="24"/>
        </w:rPr>
        <w:t>N</w:t>
      </w:r>
      <w:r w:rsidR="006965AF">
        <w:rPr>
          <w:rFonts w:cs="Times New Roman"/>
          <w:sz w:val="24"/>
          <w:szCs w:val="24"/>
        </w:rPr>
        <w:t xml:space="preserve">orthern </w:t>
      </w:r>
      <w:r w:rsidR="00EC4504">
        <w:rPr>
          <w:rFonts w:cs="Times New Roman"/>
          <w:sz w:val="24"/>
          <w:szCs w:val="24"/>
        </w:rPr>
        <w:t xml:space="preserve">Virginia </w:t>
      </w:r>
      <w:r w:rsidR="006965AF">
        <w:rPr>
          <w:rFonts w:cs="Times New Roman"/>
          <w:sz w:val="24"/>
          <w:szCs w:val="24"/>
        </w:rPr>
        <w:t>Transportation Authority</w:t>
      </w:r>
    </w:p>
    <w:p w14:paraId="27622D75" w14:textId="77777777" w:rsidR="00D6662A" w:rsidRPr="001628F4" w:rsidRDefault="00D6662A" w:rsidP="001628F4">
      <w:pPr>
        <w:spacing w:line="240" w:lineRule="auto"/>
        <w:contextualSpacing/>
        <w:rPr>
          <w:sz w:val="24"/>
          <w:szCs w:val="24"/>
        </w:rPr>
      </w:pPr>
    </w:p>
    <w:p w14:paraId="5616301D" w14:textId="67F6E758" w:rsidR="00C927AF" w:rsidRPr="001628F4" w:rsidRDefault="00C927AF" w:rsidP="001628F4">
      <w:pPr>
        <w:spacing w:line="240" w:lineRule="auto"/>
        <w:contextualSpacing/>
        <w:rPr>
          <w:sz w:val="24"/>
          <w:szCs w:val="24"/>
        </w:rPr>
      </w:pPr>
      <w:r w:rsidRPr="001628F4">
        <w:rPr>
          <w:b/>
          <w:sz w:val="24"/>
          <w:szCs w:val="24"/>
        </w:rPr>
        <w:t>FROM:</w:t>
      </w:r>
      <w:r w:rsidRPr="001628F4">
        <w:rPr>
          <w:b/>
          <w:sz w:val="24"/>
          <w:szCs w:val="24"/>
        </w:rPr>
        <w:tab/>
      </w:r>
      <w:r w:rsidRPr="001628F4">
        <w:rPr>
          <w:b/>
          <w:sz w:val="24"/>
          <w:szCs w:val="24"/>
        </w:rPr>
        <w:tab/>
      </w:r>
      <w:r w:rsidR="006965AF">
        <w:rPr>
          <w:rFonts w:cs="Times New Roman"/>
          <w:sz w:val="24"/>
          <w:szCs w:val="24"/>
        </w:rPr>
        <w:t xml:space="preserve">Michael Longhi, Chief Financial Officer </w:t>
      </w:r>
      <w:r w:rsidR="005079D8" w:rsidRPr="001628F4">
        <w:rPr>
          <w:rFonts w:cs="Times New Roman"/>
          <w:sz w:val="24"/>
          <w:szCs w:val="24"/>
        </w:rPr>
        <w:t xml:space="preserve"> </w:t>
      </w:r>
    </w:p>
    <w:p w14:paraId="7C769713" w14:textId="77777777" w:rsidR="00D6662A" w:rsidRDefault="00D6662A" w:rsidP="001628F4">
      <w:pPr>
        <w:spacing w:line="240" w:lineRule="auto"/>
        <w:contextualSpacing/>
        <w:rPr>
          <w:b/>
          <w:sz w:val="24"/>
          <w:szCs w:val="24"/>
        </w:rPr>
      </w:pPr>
    </w:p>
    <w:p w14:paraId="2C40A539" w14:textId="52FE67F8" w:rsidR="00C927AF" w:rsidRPr="001628F4" w:rsidRDefault="00C927AF" w:rsidP="001628F4">
      <w:pPr>
        <w:spacing w:line="240" w:lineRule="auto"/>
        <w:contextualSpacing/>
        <w:rPr>
          <w:sz w:val="24"/>
          <w:szCs w:val="24"/>
        </w:rPr>
      </w:pPr>
      <w:r w:rsidRPr="001628F4">
        <w:rPr>
          <w:b/>
          <w:sz w:val="24"/>
          <w:szCs w:val="24"/>
        </w:rPr>
        <w:t>DATE:</w:t>
      </w:r>
      <w:r w:rsidRPr="001628F4">
        <w:rPr>
          <w:b/>
          <w:sz w:val="24"/>
          <w:szCs w:val="24"/>
        </w:rPr>
        <w:tab/>
      </w:r>
      <w:r w:rsidRPr="001628F4">
        <w:rPr>
          <w:b/>
          <w:sz w:val="24"/>
          <w:szCs w:val="24"/>
        </w:rPr>
        <w:tab/>
      </w:r>
      <w:r w:rsidR="006965AF">
        <w:rPr>
          <w:sz w:val="24"/>
          <w:szCs w:val="24"/>
        </w:rPr>
        <w:t>November</w:t>
      </w:r>
      <w:r w:rsidR="00AC1DBC">
        <w:rPr>
          <w:sz w:val="24"/>
          <w:szCs w:val="24"/>
        </w:rPr>
        <w:t xml:space="preserve"> 2</w:t>
      </w:r>
      <w:r w:rsidR="006965AF">
        <w:rPr>
          <w:sz w:val="24"/>
          <w:szCs w:val="24"/>
        </w:rPr>
        <w:t>, 2018</w:t>
      </w:r>
    </w:p>
    <w:p w14:paraId="6C8EAF3B" w14:textId="77777777" w:rsidR="00D6662A" w:rsidRDefault="00D6662A" w:rsidP="001628F4">
      <w:pPr>
        <w:pBdr>
          <w:bottom w:val="single" w:sz="12" w:space="1" w:color="auto"/>
        </w:pBdr>
        <w:spacing w:after="0" w:line="240" w:lineRule="auto"/>
        <w:contextualSpacing/>
        <w:rPr>
          <w:b/>
          <w:sz w:val="24"/>
          <w:szCs w:val="24"/>
        </w:rPr>
      </w:pPr>
    </w:p>
    <w:p w14:paraId="470F49A2" w14:textId="77777777" w:rsidR="007D4A59" w:rsidRPr="001628F4" w:rsidRDefault="00C927AF" w:rsidP="001628F4">
      <w:pPr>
        <w:pBdr>
          <w:bottom w:val="single" w:sz="12" w:space="1" w:color="auto"/>
        </w:pBdr>
        <w:spacing w:after="0" w:line="240" w:lineRule="auto"/>
        <w:contextualSpacing/>
        <w:rPr>
          <w:rFonts w:cs="Times New Roman"/>
          <w:sz w:val="24"/>
          <w:szCs w:val="24"/>
        </w:rPr>
      </w:pPr>
      <w:r w:rsidRPr="001628F4">
        <w:rPr>
          <w:b/>
          <w:sz w:val="24"/>
          <w:szCs w:val="24"/>
        </w:rPr>
        <w:t>SUBJECT:</w:t>
      </w:r>
      <w:r w:rsidRPr="001628F4">
        <w:rPr>
          <w:sz w:val="24"/>
          <w:szCs w:val="24"/>
        </w:rPr>
        <w:tab/>
      </w:r>
      <w:r w:rsidR="008A69F8" w:rsidRPr="001628F4">
        <w:rPr>
          <w:sz w:val="24"/>
          <w:szCs w:val="24"/>
        </w:rPr>
        <w:t>Investment Portfolio Report</w:t>
      </w:r>
    </w:p>
    <w:p w14:paraId="3088A218" w14:textId="77777777" w:rsidR="00C802C4" w:rsidRPr="001628F4" w:rsidRDefault="00C802C4" w:rsidP="001628F4">
      <w:pPr>
        <w:spacing w:after="0" w:line="240" w:lineRule="auto"/>
        <w:contextualSpacing/>
        <w:rPr>
          <w:b/>
          <w:sz w:val="24"/>
          <w:szCs w:val="24"/>
        </w:rPr>
      </w:pPr>
    </w:p>
    <w:p w14:paraId="04BF4F2F" w14:textId="04E77B73" w:rsidR="007D4A59" w:rsidRPr="001628F4" w:rsidRDefault="00BD6794" w:rsidP="001628F4">
      <w:pPr>
        <w:pStyle w:val="ListParagraph"/>
        <w:numPr>
          <w:ilvl w:val="0"/>
          <w:numId w:val="4"/>
        </w:numPr>
        <w:spacing w:after="720" w:line="240" w:lineRule="auto"/>
        <w:rPr>
          <w:rFonts w:cs="Times New Roman"/>
          <w:b/>
          <w:sz w:val="24"/>
          <w:szCs w:val="24"/>
        </w:rPr>
      </w:pPr>
      <w:r w:rsidRPr="001628F4">
        <w:rPr>
          <w:rFonts w:cs="Times New Roman"/>
          <w:b/>
          <w:sz w:val="24"/>
          <w:szCs w:val="24"/>
        </w:rPr>
        <w:t>Purpose:</w:t>
      </w:r>
      <w:r w:rsidR="00BB2C7F" w:rsidRPr="001628F4">
        <w:rPr>
          <w:rFonts w:cs="Times New Roman"/>
          <w:b/>
          <w:sz w:val="24"/>
          <w:szCs w:val="24"/>
        </w:rPr>
        <w:t xml:space="preserve">  </w:t>
      </w:r>
      <w:r w:rsidR="008A69F8" w:rsidRPr="001628F4">
        <w:rPr>
          <w:sz w:val="24"/>
          <w:szCs w:val="24"/>
        </w:rPr>
        <w:t xml:space="preserve">To </w:t>
      </w:r>
      <w:r w:rsidR="00662697" w:rsidRPr="001628F4">
        <w:rPr>
          <w:sz w:val="24"/>
          <w:szCs w:val="24"/>
        </w:rPr>
        <w:t xml:space="preserve">provide </w:t>
      </w:r>
      <w:r w:rsidR="008A69F8" w:rsidRPr="001628F4">
        <w:rPr>
          <w:sz w:val="24"/>
          <w:szCs w:val="24"/>
        </w:rPr>
        <w:t xml:space="preserve">the </w:t>
      </w:r>
      <w:r w:rsidR="00887C97" w:rsidRPr="001628F4">
        <w:rPr>
          <w:sz w:val="24"/>
          <w:szCs w:val="24"/>
        </w:rPr>
        <w:t xml:space="preserve">Northern Virginia Transportation Authority (NVTA) </w:t>
      </w:r>
      <w:r w:rsidR="00516DA7" w:rsidRPr="001628F4">
        <w:rPr>
          <w:sz w:val="24"/>
          <w:szCs w:val="24"/>
        </w:rPr>
        <w:t xml:space="preserve">with </w:t>
      </w:r>
      <w:r w:rsidR="005C7E5E" w:rsidRPr="001628F4">
        <w:rPr>
          <w:sz w:val="24"/>
          <w:szCs w:val="24"/>
        </w:rPr>
        <w:t xml:space="preserve">required </w:t>
      </w:r>
      <w:r w:rsidR="008A69F8" w:rsidRPr="001628F4">
        <w:rPr>
          <w:sz w:val="24"/>
          <w:szCs w:val="24"/>
        </w:rPr>
        <w:t>report</w:t>
      </w:r>
      <w:r w:rsidR="00662697" w:rsidRPr="001628F4">
        <w:rPr>
          <w:sz w:val="24"/>
          <w:szCs w:val="24"/>
        </w:rPr>
        <w:t>s</w:t>
      </w:r>
      <w:r w:rsidR="008A69F8" w:rsidRPr="001628F4">
        <w:rPr>
          <w:sz w:val="24"/>
          <w:szCs w:val="24"/>
        </w:rPr>
        <w:t xml:space="preserve"> on investment activities </w:t>
      </w:r>
      <w:r w:rsidR="00887C97" w:rsidRPr="001628F4">
        <w:rPr>
          <w:sz w:val="24"/>
          <w:szCs w:val="24"/>
        </w:rPr>
        <w:t xml:space="preserve">and </w:t>
      </w:r>
      <w:r w:rsidR="00662697" w:rsidRPr="001628F4">
        <w:rPr>
          <w:sz w:val="24"/>
          <w:szCs w:val="24"/>
        </w:rPr>
        <w:t>portfolio performance</w:t>
      </w:r>
      <w:r w:rsidR="0024299B" w:rsidRPr="001628F4">
        <w:rPr>
          <w:sz w:val="24"/>
          <w:szCs w:val="24"/>
        </w:rPr>
        <w:t xml:space="preserve"> </w:t>
      </w:r>
      <w:r w:rsidR="005618F7" w:rsidRPr="001628F4">
        <w:rPr>
          <w:sz w:val="24"/>
          <w:szCs w:val="24"/>
        </w:rPr>
        <w:t xml:space="preserve">through </w:t>
      </w:r>
      <w:r w:rsidR="00D66335">
        <w:rPr>
          <w:sz w:val="24"/>
          <w:szCs w:val="24"/>
        </w:rPr>
        <w:t xml:space="preserve">September </w:t>
      </w:r>
      <w:r w:rsidR="00E6113A" w:rsidRPr="001628F4">
        <w:rPr>
          <w:sz w:val="24"/>
          <w:szCs w:val="24"/>
        </w:rPr>
        <w:t>3</w:t>
      </w:r>
      <w:r w:rsidR="003B4C77">
        <w:rPr>
          <w:sz w:val="24"/>
          <w:szCs w:val="24"/>
        </w:rPr>
        <w:t>0</w:t>
      </w:r>
      <w:r w:rsidR="00E6113A" w:rsidRPr="001628F4">
        <w:rPr>
          <w:sz w:val="24"/>
          <w:szCs w:val="24"/>
        </w:rPr>
        <w:t>, 2018</w:t>
      </w:r>
      <w:r w:rsidR="005618F7" w:rsidRPr="001628F4">
        <w:rPr>
          <w:sz w:val="24"/>
          <w:szCs w:val="24"/>
        </w:rPr>
        <w:t>.</w:t>
      </w:r>
    </w:p>
    <w:p w14:paraId="3A4D7718" w14:textId="77777777" w:rsidR="009E27B4" w:rsidRPr="001628F4" w:rsidRDefault="009E27B4" w:rsidP="001628F4">
      <w:pPr>
        <w:pStyle w:val="ListParagraph"/>
        <w:spacing w:after="720" w:line="240" w:lineRule="auto"/>
        <w:ind w:left="360"/>
        <w:rPr>
          <w:rFonts w:cs="Times New Roman"/>
          <w:b/>
          <w:sz w:val="24"/>
          <w:szCs w:val="24"/>
        </w:rPr>
      </w:pPr>
    </w:p>
    <w:p w14:paraId="48DEB653" w14:textId="77777777" w:rsidR="004A7837" w:rsidRPr="001628F4" w:rsidRDefault="00BB2C7F" w:rsidP="001628F4">
      <w:pPr>
        <w:pStyle w:val="ListParagraph"/>
        <w:numPr>
          <w:ilvl w:val="0"/>
          <w:numId w:val="4"/>
        </w:numPr>
        <w:spacing w:before="240" w:line="240" w:lineRule="auto"/>
        <w:rPr>
          <w:b/>
          <w:sz w:val="24"/>
          <w:szCs w:val="24"/>
        </w:rPr>
      </w:pPr>
      <w:r w:rsidRPr="001628F4">
        <w:rPr>
          <w:rFonts w:cs="Times New Roman"/>
          <w:b/>
          <w:sz w:val="24"/>
          <w:szCs w:val="24"/>
        </w:rPr>
        <w:t>Background</w:t>
      </w:r>
      <w:r w:rsidR="00E165CA" w:rsidRPr="001628F4">
        <w:rPr>
          <w:rFonts w:cs="Times New Roman"/>
          <w:b/>
          <w:sz w:val="24"/>
          <w:szCs w:val="24"/>
        </w:rPr>
        <w:t>:</w:t>
      </w:r>
    </w:p>
    <w:p w14:paraId="2305697E" w14:textId="557FEF3E" w:rsidR="0020705A" w:rsidRPr="001628F4" w:rsidRDefault="0020705A" w:rsidP="001628F4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1628F4">
        <w:rPr>
          <w:sz w:val="24"/>
          <w:szCs w:val="24"/>
        </w:rPr>
        <w:t>Th</w:t>
      </w:r>
      <w:r w:rsidR="005C7E5E" w:rsidRPr="001628F4">
        <w:rPr>
          <w:sz w:val="24"/>
          <w:szCs w:val="24"/>
        </w:rPr>
        <w:t>i</w:t>
      </w:r>
      <w:r w:rsidRPr="001628F4">
        <w:rPr>
          <w:sz w:val="24"/>
          <w:szCs w:val="24"/>
        </w:rPr>
        <w:t>s</w:t>
      </w:r>
      <w:r w:rsidR="005C7E5E" w:rsidRPr="001628F4">
        <w:rPr>
          <w:sz w:val="24"/>
          <w:szCs w:val="24"/>
        </w:rPr>
        <w:t xml:space="preserve"> report </w:t>
      </w:r>
      <w:r w:rsidR="00832D3A" w:rsidRPr="001628F4">
        <w:rPr>
          <w:sz w:val="24"/>
          <w:szCs w:val="24"/>
        </w:rPr>
        <w:t xml:space="preserve">is on </w:t>
      </w:r>
      <w:r w:rsidR="00D6662A" w:rsidRPr="001628F4">
        <w:rPr>
          <w:sz w:val="24"/>
          <w:szCs w:val="24"/>
        </w:rPr>
        <w:t xml:space="preserve">investment activity </w:t>
      </w:r>
      <w:r w:rsidR="00795B94" w:rsidRPr="001628F4">
        <w:rPr>
          <w:sz w:val="24"/>
          <w:szCs w:val="24"/>
        </w:rPr>
        <w:t>th</w:t>
      </w:r>
      <w:r w:rsidR="00D6662A">
        <w:rPr>
          <w:sz w:val="24"/>
          <w:szCs w:val="24"/>
        </w:rPr>
        <w:t>rough</w:t>
      </w:r>
      <w:r w:rsidR="005C7E5E" w:rsidRPr="001628F4">
        <w:rPr>
          <w:sz w:val="24"/>
          <w:szCs w:val="24"/>
        </w:rPr>
        <w:t xml:space="preserve"> </w:t>
      </w:r>
      <w:r w:rsidR="00D66335">
        <w:rPr>
          <w:sz w:val="24"/>
          <w:szCs w:val="24"/>
        </w:rPr>
        <w:t>September</w:t>
      </w:r>
      <w:r w:rsidR="00E6113A" w:rsidRPr="001628F4">
        <w:rPr>
          <w:sz w:val="24"/>
          <w:szCs w:val="24"/>
        </w:rPr>
        <w:t xml:space="preserve"> </w:t>
      </w:r>
      <w:r w:rsidR="00226620" w:rsidRPr="001628F4">
        <w:rPr>
          <w:sz w:val="24"/>
          <w:szCs w:val="24"/>
        </w:rPr>
        <w:t>201</w:t>
      </w:r>
      <w:r w:rsidR="005618F7" w:rsidRPr="001628F4">
        <w:rPr>
          <w:sz w:val="24"/>
          <w:szCs w:val="24"/>
        </w:rPr>
        <w:t>8</w:t>
      </w:r>
      <w:r w:rsidR="00226620" w:rsidRPr="001628F4">
        <w:rPr>
          <w:sz w:val="24"/>
          <w:szCs w:val="24"/>
        </w:rPr>
        <w:t xml:space="preserve"> </w:t>
      </w:r>
      <w:r w:rsidR="00A749E6" w:rsidRPr="001628F4">
        <w:rPr>
          <w:sz w:val="24"/>
          <w:szCs w:val="24"/>
        </w:rPr>
        <w:t xml:space="preserve">and </w:t>
      </w:r>
      <w:r w:rsidR="005C7E5E" w:rsidRPr="001628F4">
        <w:rPr>
          <w:sz w:val="24"/>
          <w:szCs w:val="24"/>
        </w:rPr>
        <w:t>affirms</w:t>
      </w:r>
      <w:r w:rsidR="00AD2C30" w:rsidRPr="001628F4">
        <w:rPr>
          <w:sz w:val="24"/>
          <w:szCs w:val="24"/>
        </w:rPr>
        <w:t xml:space="preserve"> </w:t>
      </w:r>
      <w:r w:rsidR="005C7E5E" w:rsidRPr="001628F4">
        <w:rPr>
          <w:sz w:val="24"/>
          <w:szCs w:val="24"/>
        </w:rPr>
        <w:t>the portfolio</w:t>
      </w:r>
      <w:r w:rsidR="00516DA7" w:rsidRPr="001628F4">
        <w:rPr>
          <w:sz w:val="24"/>
          <w:szCs w:val="24"/>
        </w:rPr>
        <w:t xml:space="preserve"> investments </w:t>
      </w:r>
      <w:r w:rsidR="005C1BA3" w:rsidRPr="001628F4">
        <w:rPr>
          <w:sz w:val="24"/>
          <w:szCs w:val="24"/>
        </w:rPr>
        <w:t>w</w:t>
      </w:r>
      <w:r w:rsidR="00516DA7" w:rsidRPr="001628F4">
        <w:rPr>
          <w:sz w:val="24"/>
          <w:szCs w:val="24"/>
        </w:rPr>
        <w:t xml:space="preserve">ere acquired </w:t>
      </w:r>
      <w:r w:rsidR="005C7E5E" w:rsidRPr="001628F4">
        <w:rPr>
          <w:sz w:val="24"/>
          <w:szCs w:val="24"/>
        </w:rPr>
        <w:t xml:space="preserve">on the basis of </w:t>
      </w:r>
      <w:r w:rsidR="005C7E5E" w:rsidRPr="001628F4">
        <w:rPr>
          <w:sz w:val="24"/>
          <w:szCs w:val="24"/>
          <w:u w:val="single"/>
        </w:rPr>
        <w:t>safety</w:t>
      </w:r>
      <w:r w:rsidR="005C7E5E" w:rsidRPr="001628F4">
        <w:rPr>
          <w:sz w:val="24"/>
          <w:szCs w:val="24"/>
        </w:rPr>
        <w:t>,</w:t>
      </w:r>
      <w:r w:rsidR="0091651C" w:rsidRPr="001628F4">
        <w:rPr>
          <w:sz w:val="24"/>
          <w:szCs w:val="24"/>
        </w:rPr>
        <w:t xml:space="preserve"> </w:t>
      </w:r>
      <w:r w:rsidR="005C7E5E" w:rsidRPr="001628F4">
        <w:rPr>
          <w:sz w:val="24"/>
          <w:szCs w:val="24"/>
          <w:u w:val="single"/>
        </w:rPr>
        <w:t>liquidity</w:t>
      </w:r>
      <w:r w:rsidR="005C7E5E" w:rsidRPr="001628F4">
        <w:rPr>
          <w:sz w:val="24"/>
          <w:szCs w:val="24"/>
        </w:rPr>
        <w:t xml:space="preserve"> and </w:t>
      </w:r>
      <w:r w:rsidR="0091651C" w:rsidRPr="001628F4">
        <w:rPr>
          <w:sz w:val="24"/>
          <w:szCs w:val="24"/>
        </w:rPr>
        <w:t xml:space="preserve">then </w:t>
      </w:r>
      <w:r w:rsidR="005C7E5E" w:rsidRPr="001628F4">
        <w:rPr>
          <w:sz w:val="24"/>
          <w:szCs w:val="24"/>
          <w:u w:val="single"/>
        </w:rPr>
        <w:t>yield</w:t>
      </w:r>
      <w:r w:rsidR="00DA063F" w:rsidRPr="001628F4">
        <w:rPr>
          <w:sz w:val="24"/>
          <w:szCs w:val="24"/>
        </w:rPr>
        <w:t>.  T</w:t>
      </w:r>
      <w:r w:rsidR="005C7E5E" w:rsidRPr="001628F4">
        <w:rPr>
          <w:sz w:val="24"/>
          <w:szCs w:val="24"/>
        </w:rPr>
        <w:t>h</w:t>
      </w:r>
      <w:r w:rsidR="00DB4A06" w:rsidRPr="001628F4">
        <w:rPr>
          <w:sz w:val="24"/>
          <w:szCs w:val="24"/>
        </w:rPr>
        <w:t>is</w:t>
      </w:r>
      <w:r w:rsidR="005C7E5E" w:rsidRPr="001628F4">
        <w:rPr>
          <w:sz w:val="24"/>
          <w:szCs w:val="24"/>
        </w:rPr>
        <w:t xml:space="preserve"> report </w:t>
      </w:r>
      <w:r w:rsidR="005C1BA3" w:rsidRPr="001628F4">
        <w:rPr>
          <w:sz w:val="24"/>
          <w:szCs w:val="24"/>
        </w:rPr>
        <w:t>summarize</w:t>
      </w:r>
      <w:r w:rsidR="00DB4A06" w:rsidRPr="001628F4">
        <w:rPr>
          <w:sz w:val="24"/>
          <w:szCs w:val="24"/>
        </w:rPr>
        <w:t>s</w:t>
      </w:r>
      <w:r w:rsidR="005C1BA3" w:rsidRPr="001628F4">
        <w:rPr>
          <w:sz w:val="24"/>
          <w:szCs w:val="24"/>
        </w:rPr>
        <w:t xml:space="preserve"> </w:t>
      </w:r>
      <w:r w:rsidR="005C7E5E" w:rsidRPr="001628F4">
        <w:rPr>
          <w:sz w:val="24"/>
          <w:szCs w:val="24"/>
        </w:rPr>
        <w:t>the portfolio</w:t>
      </w:r>
      <w:r w:rsidR="0091651C" w:rsidRPr="001628F4">
        <w:rPr>
          <w:sz w:val="24"/>
          <w:szCs w:val="24"/>
        </w:rPr>
        <w:t xml:space="preserve"> structure</w:t>
      </w:r>
      <w:r w:rsidR="005C1BA3" w:rsidRPr="001628F4">
        <w:rPr>
          <w:sz w:val="24"/>
          <w:szCs w:val="24"/>
        </w:rPr>
        <w:t>,</w:t>
      </w:r>
      <w:r w:rsidR="005C7E5E" w:rsidRPr="001628F4">
        <w:rPr>
          <w:sz w:val="24"/>
          <w:szCs w:val="24"/>
        </w:rPr>
        <w:t xml:space="preserve"> </w:t>
      </w:r>
      <w:r w:rsidR="00DA063F" w:rsidRPr="001628F4">
        <w:rPr>
          <w:sz w:val="24"/>
          <w:szCs w:val="24"/>
        </w:rPr>
        <w:t xml:space="preserve">and adherence to the </w:t>
      </w:r>
      <w:r w:rsidR="007D4A59" w:rsidRPr="001628F4">
        <w:rPr>
          <w:sz w:val="24"/>
          <w:szCs w:val="24"/>
        </w:rPr>
        <w:t>NVTA Investment Policy</w:t>
      </w:r>
      <w:r w:rsidR="00DA063F" w:rsidRPr="001628F4">
        <w:rPr>
          <w:sz w:val="24"/>
          <w:szCs w:val="24"/>
        </w:rPr>
        <w:t>.</w:t>
      </w:r>
      <w:r w:rsidR="005C7E5E" w:rsidRPr="001628F4">
        <w:rPr>
          <w:sz w:val="24"/>
          <w:szCs w:val="24"/>
        </w:rPr>
        <w:t xml:space="preserve"> </w:t>
      </w:r>
    </w:p>
    <w:p w14:paraId="21ACCA5C" w14:textId="23B02B2C" w:rsidR="007D4A59" w:rsidRPr="001628F4" w:rsidRDefault="00353323" w:rsidP="001628F4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1628F4">
        <w:rPr>
          <w:sz w:val="24"/>
          <w:szCs w:val="24"/>
        </w:rPr>
        <w:t>Additionally, a</w:t>
      </w:r>
      <w:r w:rsidR="00DB4A06" w:rsidRPr="001628F4">
        <w:rPr>
          <w:sz w:val="24"/>
          <w:szCs w:val="24"/>
        </w:rPr>
        <w:t xml:space="preserve"> month</w:t>
      </w:r>
      <w:r w:rsidRPr="001628F4">
        <w:rPr>
          <w:sz w:val="24"/>
          <w:szCs w:val="24"/>
        </w:rPr>
        <w:t>ly</w:t>
      </w:r>
      <w:r w:rsidR="00DB4A06" w:rsidRPr="001628F4">
        <w:rPr>
          <w:sz w:val="24"/>
          <w:szCs w:val="24"/>
        </w:rPr>
        <w:t xml:space="preserve"> </w:t>
      </w:r>
      <w:r w:rsidR="00FB2568" w:rsidRPr="001628F4">
        <w:rPr>
          <w:sz w:val="24"/>
          <w:szCs w:val="24"/>
        </w:rPr>
        <w:t xml:space="preserve">report </w:t>
      </w:r>
      <w:r w:rsidRPr="001628F4">
        <w:rPr>
          <w:sz w:val="24"/>
          <w:szCs w:val="24"/>
        </w:rPr>
        <w:t>is</w:t>
      </w:r>
      <w:r w:rsidR="005C7E5E" w:rsidRPr="001628F4">
        <w:rPr>
          <w:sz w:val="24"/>
          <w:szCs w:val="24"/>
        </w:rPr>
        <w:t xml:space="preserve"> </w:t>
      </w:r>
      <w:r w:rsidR="001707DD" w:rsidRPr="001628F4">
        <w:rPr>
          <w:sz w:val="24"/>
          <w:szCs w:val="24"/>
        </w:rPr>
        <w:t>attached</w:t>
      </w:r>
      <w:r w:rsidR="005C7E5E" w:rsidRPr="001628F4">
        <w:rPr>
          <w:sz w:val="24"/>
          <w:szCs w:val="24"/>
        </w:rPr>
        <w:t xml:space="preserve"> </w:t>
      </w:r>
      <w:r w:rsidRPr="001628F4">
        <w:rPr>
          <w:sz w:val="24"/>
          <w:szCs w:val="24"/>
        </w:rPr>
        <w:t xml:space="preserve">which </w:t>
      </w:r>
      <w:r w:rsidR="00FB2568" w:rsidRPr="001628F4">
        <w:rPr>
          <w:sz w:val="24"/>
          <w:szCs w:val="24"/>
        </w:rPr>
        <w:t>c</w:t>
      </w:r>
      <w:r w:rsidR="0020705A" w:rsidRPr="001628F4">
        <w:rPr>
          <w:sz w:val="24"/>
          <w:szCs w:val="24"/>
        </w:rPr>
        <w:t>ompl</w:t>
      </w:r>
      <w:r w:rsidRPr="001628F4">
        <w:rPr>
          <w:sz w:val="24"/>
          <w:szCs w:val="24"/>
        </w:rPr>
        <w:t>ies</w:t>
      </w:r>
      <w:r w:rsidR="0020705A" w:rsidRPr="001628F4">
        <w:rPr>
          <w:sz w:val="24"/>
          <w:szCs w:val="24"/>
        </w:rPr>
        <w:t xml:space="preserve"> with all reporting requirements prescribed in the NVTA Investment Policy.</w:t>
      </w:r>
    </w:p>
    <w:p w14:paraId="7CDBFF1D" w14:textId="77777777" w:rsidR="009E27B4" w:rsidRPr="001628F4" w:rsidRDefault="009E27B4" w:rsidP="001628F4">
      <w:pPr>
        <w:pStyle w:val="ListParagraph"/>
        <w:spacing w:line="240" w:lineRule="auto"/>
        <w:ind w:left="1080"/>
        <w:rPr>
          <w:sz w:val="24"/>
          <w:szCs w:val="24"/>
        </w:rPr>
      </w:pPr>
    </w:p>
    <w:p w14:paraId="1ED6F79E" w14:textId="77777777" w:rsidR="00DA063F" w:rsidRPr="001628F4" w:rsidRDefault="005C1BA3" w:rsidP="001628F4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1628F4">
        <w:rPr>
          <w:b/>
          <w:sz w:val="24"/>
          <w:szCs w:val="24"/>
        </w:rPr>
        <w:t xml:space="preserve">Current Period </w:t>
      </w:r>
      <w:r w:rsidR="00DA063F" w:rsidRPr="001628F4">
        <w:rPr>
          <w:b/>
          <w:sz w:val="24"/>
          <w:szCs w:val="24"/>
        </w:rPr>
        <w:t>Reports:</w:t>
      </w:r>
      <w:r w:rsidRPr="001628F4">
        <w:rPr>
          <w:b/>
          <w:sz w:val="24"/>
          <w:szCs w:val="24"/>
        </w:rPr>
        <w:t xml:space="preserve">  </w:t>
      </w:r>
    </w:p>
    <w:p w14:paraId="2D99102C" w14:textId="05100AB5" w:rsidR="00BB046B" w:rsidRPr="001628F4" w:rsidRDefault="005C1BA3" w:rsidP="001628F4">
      <w:pPr>
        <w:pStyle w:val="ListParagraph"/>
        <w:numPr>
          <w:ilvl w:val="0"/>
          <w:numId w:val="7"/>
        </w:numPr>
        <w:spacing w:line="240" w:lineRule="auto"/>
        <w:ind w:left="720"/>
        <w:rPr>
          <w:sz w:val="24"/>
          <w:szCs w:val="24"/>
        </w:rPr>
      </w:pPr>
      <w:r w:rsidRPr="001628F4">
        <w:rPr>
          <w:sz w:val="24"/>
          <w:szCs w:val="24"/>
        </w:rPr>
        <w:t xml:space="preserve">The </w:t>
      </w:r>
      <w:r w:rsidRPr="001628F4">
        <w:rPr>
          <w:sz w:val="24"/>
          <w:szCs w:val="24"/>
          <w:u w:val="single"/>
        </w:rPr>
        <w:t>safety</w:t>
      </w:r>
      <w:r w:rsidRPr="001628F4">
        <w:rPr>
          <w:sz w:val="24"/>
          <w:szCs w:val="24"/>
        </w:rPr>
        <w:t xml:space="preserve"> of the portfolio is reflected in the actual composition of the portfolio</w:t>
      </w:r>
      <w:r w:rsidR="00C7257C" w:rsidRPr="001628F4">
        <w:rPr>
          <w:sz w:val="24"/>
          <w:szCs w:val="24"/>
        </w:rPr>
        <w:t xml:space="preserve"> </w:t>
      </w:r>
      <w:r w:rsidR="00DB4A06" w:rsidRPr="001628F4">
        <w:rPr>
          <w:sz w:val="24"/>
          <w:szCs w:val="24"/>
        </w:rPr>
        <w:t xml:space="preserve">as </w:t>
      </w:r>
      <w:r w:rsidR="00C7257C" w:rsidRPr="001628F4">
        <w:rPr>
          <w:sz w:val="24"/>
          <w:szCs w:val="24"/>
        </w:rPr>
        <w:t>shown below</w:t>
      </w:r>
      <w:r w:rsidRPr="001628F4">
        <w:rPr>
          <w:sz w:val="24"/>
          <w:szCs w:val="24"/>
        </w:rPr>
        <w:t>:</w:t>
      </w:r>
    </w:p>
    <w:p w14:paraId="53776E09" w14:textId="66897D69" w:rsidR="0033756F" w:rsidRPr="001628F4" w:rsidRDefault="00B94A4B" w:rsidP="008C4BFC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439D1ED4" wp14:editId="0FA4D204">
            <wp:extent cx="5076825" cy="3224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48131" cy="3332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6183E8" w14:textId="0D3B055A" w:rsidR="00937CDB" w:rsidRPr="001628F4" w:rsidRDefault="00803681" w:rsidP="001628F4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1628F4">
        <w:rPr>
          <w:sz w:val="24"/>
          <w:szCs w:val="24"/>
        </w:rPr>
        <w:lastRenderedPageBreak/>
        <w:t xml:space="preserve">The </w:t>
      </w:r>
      <w:r w:rsidRPr="001628F4">
        <w:rPr>
          <w:sz w:val="24"/>
          <w:szCs w:val="24"/>
          <w:u w:val="single"/>
        </w:rPr>
        <w:t>l</w:t>
      </w:r>
      <w:r w:rsidR="005C1BA3" w:rsidRPr="001628F4">
        <w:rPr>
          <w:sz w:val="24"/>
          <w:szCs w:val="24"/>
          <w:u w:val="single"/>
        </w:rPr>
        <w:t>iquidity</w:t>
      </w:r>
      <w:r w:rsidR="005C1BA3" w:rsidRPr="001628F4">
        <w:rPr>
          <w:sz w:val="24"/>
          <w:szCs w:val="24"/>
        </w:rPr>
        <w:t xml:space="preserve"> of the portfolio is </w:t>
      </w:r>
      <w:r w:rsidR="00C7257C" w:rsidRPr="001628F4">
        <w:rPr>
          <w:sz w:val="24"/>
          <w:szCs w:val="24"/>
        </w:rPr>
        <w:t>reflected in</w:t>
      </w:r>
      <w:r w:rsidR="005C1BA3" w:rsidRPr="001628F4">
        <w:rPr>
          <w:sz w:val="24"/>
          <w:szCs w:val="24"/>
        </w:rPr>
        <w:t xml:space="preserve"> </w:t>
      </w:r>
      <w:r w:rsidR="00300355" w:rsidRPr="001628F4">
        <w:rPr>
          <w:sz w:val="24"/>
          <w:szCs w:val="24"/>
        </w:rPr>
        <w:t xml:space="preserve">the portfolio’s </w:t>
      </w:r>
      <w:r w:rsidR="005C1BA3" w:rsidRPr="001628F4">
        <w:rPr>
          <w:sz w:val="24"/>
          <w:szCs w:val="24"/>
        </w:rPr>
        <w:t>duration</w:t>
      </w:r>
      <w:r w:rsidR="00474809" w:rsidRPr="001628F4">
        <w:rPr>
          <w:sz w:val="24"/>
          <w:szCs w:val="24"/>
        </w:rPr>
        <w:t xml:space="preserve"> of .4</w:t>
      </w:r>
      <w:r w:rsidR="006D6EE5">
        <w:rPr>
          <w:sz w:val="24"/>
          <w:szCs w:val="24"/>
        </w:rPr>
        <w:t>3</w:t>
      </w:r>
      <w:r w:rsidR="00440C68" w:rsidRPr="001628F4">
        <w:rPr>
          <w:sz w:val="24"/>
          <w:szCs w:val="24"/>
        </w:rPr>
        <w:t xml:space="preserve"> </w:t>
      </w:r>
      <w:r w:rsidR="00034B1F">
        <w:rPr>
          <w:sz w:val="24"/>
          <w:szCs w:val="24"/>
        </w:rPr>
        <w:t>(1.0</w:t>
      </w:r>
      <w:r w:rsidR="00035D43">
        <w:rPr>
          <w:sz w:val="24"/>
          <w:szCs w:val="24"/>
        </w:rPr>
        <w:t xml:space="preserve"> </w:t>
      </w:r>
      <w:r w:rsidR="00034B1F">
        <w:rPr>
          <w:sz w:val="24"/>
          <w:szCs w:val="24"/>
        </w:rPr>
        <w:t>=</w:t>
      </w:r>
      <w:r w:rsidR="00035D43">
        <w:rPr>
          <w:sz w:val="24"/>
          <w:szCs w:val="24"/>
        </w:rPr>
        <w:t xml:space="preserve"> 1 year) </w:t>
      </w:r>
      <w:r w:rsidR="00440C68" w:rsidRPr="001628F4">
        <w:rPr>
          <w:sz w:val="24"/>
          <w:szCs w:val="24"/>
        </w:rPr>
        <w:t xml:space="preserve">and the </w:t>
      </w:r>
      <w:r w:rsidR="005C1BA3" w:rsidRPr="001628F4">
        <w:rPr>
          <w:sz w:val="24"/>
          <w:szCs w:val="24"/>
        </w:rPr>
        <w:t xml:space="preserve">maturity schedule shown </w:t>
      </w:r>
      <w:r w:rsidR="00C7257C" w:rsidRPr="001628F4">
        <w:rPr>
          <w:sz w:val="24"/>
          <w:szCs w:val="24"/>
        </w:rPr>
        <w:t>below</w:t>
      </w:r>
      <w:r w:rsidR="005C1BA3" w:rsidRPr="001628F4">
        <w:rPr>
          <w:sz w:val="24"/>
          <w:szCs w:val="24"/>
        </w:rPr>
        <w:t xml:space="preserve">: </w:t>
      </w:r>
    </w:p>
    <w:p w14:paraId="6D02AEE6" w14:textId="6C287087" w:rsidR="00937CDB" w:rsidRPr="001628F4" w:rsidRDefault="00B94A4B" w:rsidP="001628F4">
      <w:pPr>
        <w:spacing w:line="240" w:lineRule="auto"/>
        <w:contextualSpacing/>
        <w:rPr>
          <w:sz w:val="24"/>
          <w:szCs w:val="24"/>
        </w:rPr>
      </w:pPr>
      <w:r>
        <w:rPr>
          <w:noProof/>
        </w:rPr>
        <w:drawing>
          <wp:inline distT="0" distB="0" distL="0" distR="0" wp14:anchorId="6671D750" wp14:editId="1EF67F25">
            <wp:extent cx="6073382" cy="3816626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02742" cy="3835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B03C10" w14:textId="2D41CE96" w:rsidR="00B45F52" w:rsidRPr="001628F4" w:rsidRDefault="002D1E34" w:rsidP="001628F4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1628F4">
        <w:rPr>
          <w:sz w:val="24"/>
          <w:szCs w:val="24"/>
        </w:rPr>
        <w:t xml:space="preserve">The </w:t>
      </w:r>
      <w:r w:rsidRPr="001628F4">
        <w:rPr>
          <w:sz w:val="24"/>
          <w:szCs w:val="24"/>
          <w:u w:val="single"/>
        </w:rPr>
        <w:t>yield</w:t>
      </w:r>
      <w:r w:rsidRPr="001628F4">
        <w:rPr>
          <w:sz w:val="24"/>
          <w:szCs w:val="24"/>
        </w:rPr>
        <w:t xml:space="preserve"> on the portfolio at the end of </w:t>
      </w:r>
      <w:r w:rsidR="005B3350">
        <w:rPr>
          <w:sz w:val="24"/>
          <w:szCs w:val="24"/>
        </w:rPr>
        <w:t>September</w:t>
      </w:r>
      <w:r w:rsidR="00937CDB" w:rsidRPr="001628F4">
        <w:rPr>
          <w:sz w:val="24"/>
          <w:szCs w:val="24"/>
        </w:rPr>
        <w:t xml:space="preserve"> </w:t>
      </w:r>
      <w:r w:rsidR="00AD2689" w:rsidRPr="001628F4">
        <w:rPr>
          <w:sz w:val="24"/>
          <w:szCs w:val="24"/>
        </w:rPr>
        <w:t xml:space="preserve">2018 </w:t>
      </w:r>
      <w:r w:rsidRPr="001628F4">
        <w:rPr>
          <w:sz w:val="24"/>
          <w:szCs w:val="24"/>
        </w:rPr>
        <w:t xml:space="preserve">was </w:t>
      </w:r>
      <w:r w:rsidR="00937CDB" w:rsidRPr="001628F4">
        <w:rPr>
          <w:sz w:val="24"/>
          <w:szCs w:val="24"/>
        </w:rPr>
        <w:t>2.1</w:t>
      </w:r>
      <w:r w:rsidR="005B3350">
        <w:rPr>
          <w:sz w:val="24"/>
          <w:szCs w:val="24"/>
        </w:rPr>
        <w:t>7</w:t>
      </w:r>
      <w:r w:rsidRPr="001628F4">
        <w:rPr>
          <w:sz w:val="24"/>
          <w:szCs w:val="24"/>
        </w:rPr>
        <w:t>%</w:t>
      </w:r>
      <w:r w:rsidR="00A43250" w:rsidRPr="001628F4">
        <w:rPr>
          <w:sz w:val="24"/>
          <w:szCs w:val="24"/>
        </w:rPr>
        <w:t xml:space="preserve">. </w:t>
      </w:r>
      <w:r w:rsidRPr="001628F4">
        <w:rPr>
          <w:sz w:val="24"/>
          <w:szCs w:val="24"/>
        </w:rPr>
        <w:t xml:space="preserve"> </w:t>
      </w:r>
      <w:r w:rsidR="001707DD" w:rsidRPr="001628F4">
        <w:rPr>
          <w:sz w:val="24"/>
          <w:szCs w:val="24"/>
        </w:rPr>
        <w:t>T</w:t>
      </w:r>
      <w:r w:rsidRPr="001628F4">
        <w:rPr>
          <w:sz w:val="24"/>
          <w:szCs w:val="24"/>
        </w:rPr>
        <w:t xml:space="preserve">he NVTA’s </w:t>
      </w:r>
      <w:r w:rsidR="00F5669C" w:rsidRPr="001628F4">
        <w:rPr>
          <w:sz w:val="24"/>
          <w:szCs w:val="24"/>
        </w:rPr>
        <w:t>I</w:t>
      </w:r>
      <w:r w:rsidRPr="001628F4">
        <w:rPr>
          <w:sz w:val="24"/>
          <w:szCs w:val="24"/>
        </w:rPr>
        <w:t xml:space="preserve">nvestment Policy specifies </w:t>
      </w:r>
      <w:r w:rsidR="00DB4A06" w:rsidRPr="001628F4">
        <w:rPr>
          <w:sz w:val="24"/>
          <w:szCs w:val="24"/>
        </w:rPr>
        <w:t xml:space="preserve">the </w:t>
      </w:r>
      <w:r w:rsidRPr="001628F4">
        <w:rPr>
          <w:sz w:val="24"/>
          <w:szCs w:val="24"/>
        </w:rPr>
        <w:t xml:space="preserve">benchmarks </w:t>
      </w:r>
      <w:r w:rsidR="00DB4A06" w:rsidRPr="001628F4">
        <w:rPr>
          <w:sz w:val="24"/>
          <w:szCs w:val="24"/>
        </w:rPr>
        <w:t xml:space="preserve">shown below </w:t>
      </w:r>
      <w:r w:rsidRPr="001628F4">
        <w:rPr>
          <w:sz w:val="24"/>
          <w:szCs w:val="24"/>
        </w:rPr>
        <w:t>for yield performance comparison:</w:t>
      </w:r>
    </w:p>
    <w:p w14:paraId="6D796CD8" w14:textId="77777777" w:rsidR="00937CDB" w:rsidRPr="001628F4" w:rsidRDefault="00937CDB" w:rsidP="001628F4">
      <w:pPr>
        <w:pStyle w:val="ListParagraph"/>
        <w:spacing w:line="240" w:lineRule="auto"/>
        <w:ind w:left="1080"/>
        <w:rPr>
          <w:sz w:val="24"/>
          <w:szCs w:val="24"/>
        </w:rPr>
      </w:pPr>
    </w:p>
    <w:p w14:paraId="44F542DE" w14:textId="6218CDFD" w:rsidR="00937CDB" w:rsidRPr="001628F4" w:rsidRDefault="005B3350" w:rsidP="001628F4">
      <w:pPr>
        <w:pStyle w:val="ListParagraph"/>
        <w:spacing w:line="240" w:lineRule="auto"/>
        <w:ind w:left="1080"/>
        <w:rPr>
          <w:sz w:val="24"/>
          <w:szCs w:val="24"/>
        </w:rPr>
      </w:pPr>
      <w:r w:rsidRPr="005B3350">
        <w:rPr>
          <w:noProof/>
        </w:rPr>
        <w:drawing>
          <wp:inline distT="0" distB="0" distL="0" distR="0" wp14:anchorId="5368E161" wp14:editId="0A96B335">
            <wp:extent cx="4397071" cy="1557709"/>
            <wp:effectExtent l="0" t="0" r="381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3547" cy="1570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4B5E69" w14:textId="136F202D" w:rsidR="001830BD" w:rsidRDefault="001830BD" w:rsidP="001628F4">
      <w:pPr>
        <w:pStyle w:val="ListParagraph"/>
        <w:spacing w:line="240" w:lineRule="auto"/>
        <w:ind w:left="1080"/>
        <w:rPr>
          <w:sz w:val="24"/>
          <w:szCs w:val="24"/>
        </w:rPr>
      </w:pPr>
    </w:p>
    <w:p w14:paraId="5996B8F4" w14:textId="77777777" w:rsidR="008C4BFC" w:rsidRPr="001628F4" w:rsidRDefault="008C4BFC" w:rsidP="001628F4">
      <w:pPr>
        <w:pStyle w:val="ListParagraph"/>
        <w:spacing w:line="240" w:lineRule="auto"/>
        <w:ind w:left="1080"/>
        <w:rPr>
          <w:sz w:val="24"/>
          <w:szCs w:val="24"/>
        </w:rPr>
      </w:pPr>
    </w:p>
    <w:p w14:paraId="69B92C19" w14:textId="7EEA3E71" w:rsidR="00C6095E" w:rsidRPr="00D6662A" w:rsidRDefault="00C6095E" w:rsidP="001628F4">
      <w:pPr>
        <w:pStyle w:val="ListParagraph"/>
        <w:numPr>
          <w:ilvl w:val="0"/>
          <w:numId w:val="4"/>
        </w:numPr>
        <w:spacing w:line="240" w:lineRule="auto"/>
        <w:rPr>
          <w:b/>
          <w:sz w:val="24"/>
          <w:szCs w:val="24"/>
        </w:rPr>
      </w:pPr>
      <w:r w:rsidRPr="00D6662A">
        <w:rPr>
          <w:b/>
          <w:sz w:val="24"/>
          <w:szCs w:val="24"/>
        </w:rPr>
        <w:t>Portfolio Analysis</w:t>
      </w:r>
      <w:r w:rsidR="007A16C9" w:rsidRPr="00D6662A">
        <w:rPr>
          <w:b/>
          <w:sz w:val="24"/>
          <w:szCs w:val="24"/>
        </w:rPr>
        <w:t xml:space="preserve"> &amp; Statistics</w:t>
      </w:r>
      <w:r w:rsidR="00B35B02" w:rsidRPr="00D6662A">
        <w:rPr>
          <w:b/>
          <w:sz w:val="24"/>
          <w:szCs w:val="24"/>
        </w:rPr>
        <w:t xml:space="preserve"> Overview</w:t>
      </w:r>
    </w:p>
    <w:p w14:paraId="56C25632" w14:textId="77777777" w:rsidR="00B131FC" w:rsidRPr="001628F4" w:rsidRDefault="00760B94" w:rsidP="001628F4">
      <w:pPr>
        <w:pStyle w:val="ListParagraph"/>
        <w:numPr>
          <w:ilvl w:val="1"/>
          <w:numId w:val="4"/>
        </w:numPr>
        <w:spacing w:line="240" w:lineRule="auto"/>
        <w:rPr>
          <w:b/>
          <w:sz w:val="24"/>
          <w:szCs w:val="24"/>
        </w:rPr>
      </w:pPr>
      <w:r w:rsidRPr="001628F4">
        <w:rPr>
          <w:b/>
          <w:sz w:val="24"/>
          <w:szCs w:val="24"/>
        </w:rPr>
        <w:t xml:space="preserve">Safety: </w:t>
      </w:r>
      <w:r w:rsidR="00377DF3" w:rsidRPr="001628F4">
        <w:rPr>
          <w:sz w:val="24"/>
          <w:szCs w:val="24"/>
        </w:rPr>
        <w:t>The portfolio is invested primarily in</w:t>
      </w:r>
      <w:r w:rsidR="002C66D4" w:rsidRPr="001628F4">
        <w:rPr>
          <w:sz w:val="24"/>
          <w:szCs w:val="24"/>
        </w:rPr>
        <w:t>;</w:t>
      </w:r>
      <w:r w:rsidR="00377DF3" w:rsidRPr="001628F4">
        <w:rPr>
          <w:sz w:val="24"/>
          <w:szCs w:val="24"/>
        </w:rPr>
        <w:t xml:space="preserve"> </w:t>
      </w:r>
    </w:p>
    <w:p w14:paraId="40B343B9" w14:textId="77777777" w:rsidR="00B131FC" w:rsidRPr="001628F4" w:rsidRDefault="00B131FC" w:rsidP="001628F4">
      <w:pPr>
        <w:pStyle w:val="ListParagraph"/>
        <w:spacing w:line="240" w:lineRule="auto"/>
        <w:rPr>
          <w:sz w:val="24"/>
          <w:szCs w:val="24"/>
        </w:rPr>
      </w:pPr>
      <w:r w:rsidRPr="001628F4">
        <w:rPr>
          <w:b/>
          <w:sz w:val="24"/>
          <w:szCs w:val="24"/>
        </w:rPr>
        <w:t>i</w:t>
      </w:r>
      <w:r w:rsidR="0011379C" w:rsidRPr="001628F4">
        <w:rPr>
          <w:b/>
          <w:sz w:val="24"/>
          <w:szCs w:val="24"/>
        </w:rPr>
        <w:t>)</w:t>
      </w:r>
      <w:r w:rsidR="0011379C" w:rsidRPr="001628F4">
        <w:rPr>
          <w:sz w:val="24"/>
          <w:szCs w:val="24"/>
        </w:rPr>
        <w:t xml:space="preserve"> </w:t>
      </w:r>
      <w:r w:rsidR="00377DF3" w:rsidRPr="001628F4">
        <w:rPr>
          <w:sz w:val="24"/>
          <w:szCs w:val="24"/>
        </w:rPr>
        <w:t xml:space="preserve">AAA/AA rated investment grade corporate </w:t>
      </w:r>
      <w:r w:rsidR="0011379C" w:rsidRPr="001628F4">
        <w:rPr>
          <w:sz w:val="24"/>
          <w:szCs w:val="24"/>
        </w:rPr>
        <w:t>b</w:t>
      </w:r>
      <w:r w:rsidR="00377DF3" w:rsidRPr="001628F4">
        <w:rPr>
          <w:sz w:val="24"/>
          <w:szCs w:val="24"/>
        </w:rPr>
        <w:t>onds</w:t>
      </w:r>
      <w:r w:rsidR="0011379C" w:rsidRPr="001628F4">
        <w:rPr>
          <w:sz w:val="24"/>
          <w:szCs w:val="24"/>
        </w:rPr>
        <w:t xml:space="preserve"> </w:t>
      </w:r>
    </w:p>
    <w:p w14:paraId="6370880D" w14:textId="77777777" w:rsidR="00B131FC" w:rsidRPr="001628F4" w:rsidRDefault="00B131FC" w:rsidP="001628F4">
      <w:pPr>
        <w:pStyle w:val="ListParagraph"/>
        <w:spacing w:line="240" w:lineRule="auto"/>
        <w:rPr>
          <w:sz w:val="24"/>
          <w:szCs w:val="24"/>
        </w:rPr>
      </w:pPr>
      <w:r w:rsidRPr="001628F4">
        <w:rPr>
          <w:b/>
          <w:sz w:val="24"/>
          <w:szCs w:val="24"/>
        </w:rPr>
        <w:t>ii</w:t>
      </w:r>
      <w:r w:rsidR="0011379C" w:rsidRPr="001628F4">
        <w:rPr>
          <w:b/>
          <w:sz w:val="24"/>
          <w:szCs w:val="24"/>
        </w:rPr>
        <w:t>)</w:t>
      </w:r>
      <w:r w:rsidR="0011379C" w:rsidRPr="001628F4">
        <w:rPr>
          <w:sz w:val="24"/>
          <w:szCs w:val="24"/>
        </w:rPr>
        <w:t xml:space="preserve"> </w:t>
      </w:r>
      <w:r w:rsidR="00377DF3" w:rsidRPr="001628F4">
        <w:rPr>
          <w:sz w:val="24"/>
          <w:szCs w:val="24"/>
        </w:rPr>
        <w:t>Liquid Government Investment Pools (LGIPs) and</w:t>
      </w:r>
      <w:r w:rsidR="0011379C" w:rsidRPr="001628F4">
        <w:rPr>
          <w:sz w:val="24"/>
          <w:szCs w:val="24"/>
        </w:rPr>
        <w:t xml:space="preserve">; </w:t>
      </w:r>
    </w:p>
    <w:p w14:paraId="35D2F782" w14:textId="0690F43D" w:rsidR="00377DF3" w:rsidRDefault="00B131FC" w:rsidP="001628F4">
      <w:pPr>
        <w:pStyle w:val="ListParagraph"/>
        <w:spacing w:line="240" w:lineRule="auto"/>
        <w:rPr>
          <w:sz w:val="24"/>
          <w:szCs w:val="24"/>
        </w:rPr>
      </w:pPr>
      <w:r w:rsidRPr="001628F4">
        <w:rPr>
          <w:b/>
          <w:sz w:val="24"/>
          <w:szCs w:val="24"/>
        </w:rPr>
        <w:t>iii</w:t>
      </w:r>
      <w:r w:rsidR="0011379C" w:rsidRPr="001628F4">
        <w:rPr>
          <w:b/>
          <w:sz w:val="24"/>
          <w:szCs w:val="24"/>
        </w:rPr>
        <w:t>)</w:t>
      </w:r>
      <w:r w:rsidR="00377DF3" w:rsidRPr="001628F4">
        <w:rPr>
          <w:sz w:val="24"/>
          <w:szCs w:val="24"/>
        </w:rPr>
        <w:t xml:space="preserve"> </w:t>
      </w:r>
      <w:r w:rsidRPr="001628F4">
        <w:rPr>
          <w:sz w:val="24"/>
          <w:szCs w:val="24"/>
        </w:rPr>
        <w:t>C</w:t>
      </w:r>
      <w:r w:rsidR="00377DF3" w:rsidRPr="001628F4">
        <w:rPr>
          <w:sz w:val="24"/>
          <w:szCs w:val="24"/>
        </w:rPr>
        <w:t xml:space="preserve">ollateralized bank money market accounts. </w:t>
      </w:r>
    </w:p>
    <w:p w14:paraId="01F685E8" w14:textId="77777777" w:rsidR="006D6EE5" w:rsidRPr="001628F4" w:rsidRDefault="006D6EE5" w:rsidP="001628F4">
      <w:pPr>
        <w:pStyle w:val="ListParagraph"/>
        <w:spacing w:line="240" w:lineRule="auto"/>
        <w:rPr>
          <w:b/>
          <w:sz w:val="24"/>
          <w:szCs w:val="24"/>
        </w:rPr>
      </w:pPr>
    </w:p>
    <w:p w14:paraId="238ED81B" w14:textId="77777777" w:rsidR="0011379C" w:rsidRPr="001628F4" w:rsidRDefault="00377DF3" w:rsidP="001628F4">
      <w:pPr>
        <w:pStyle w:val="ListParagraph"/>
        <w:numPr>
          <w:ilvl w:val="1"/>
          <w:numId w:val="4"/>
        </w:numPr>
        <w:spacing w:line="240" w:lineRule="auto"/>
        <w:rPr>
          <w:b/>
          <w:sz w:val="24"/>
          <w:szCs w:val="24"/>
        </w:rPr>
      </w:pPr>
      <w:r w:rsidRPr="001628F4">
        <w:rPr>
          <w:b/>
          <w:sz w:val="24"/>
          <w:szCs w:val="24"/>
        </w:rPr>
        <w:lastRenderedPageBreak/>
        <w:t>Liquidity</w:t>
      </w:r>
      <w:r w:rsidRPr="001628F4">
        <w:rPr>
          <w:sz w:val="24"/>
          <w:szCs w:val="24"/>
        </w:rPr>
        <w:t xml:space="preserve">: </w:t>
      </w:r>
    </w:p>
    <w:p w14:paraId="7E026B67" w14:textId="105EEAB7" w:rsidR="00377DF3" w:rsidRPr="001628F4" w:rsidRDefault="00377DF3" w:rsidP="001628F4">
      <w:pPr>
        <w:pStyle w:val="ListParagraph"/>
        <w:numPr>
          <w:ilvl w:val="2"/>
          <w:numId w:val="4"/>
        </w:numPr>
        <w:spacing w:line="240" w:lineRule="auto"/>
        <w:rPr>
          <w:b/>
          <w:sz w:val="24"/>
          <w:szCs w:val="24"/>
        </w:rPr>
      </w:pPr>
      <w:r w:rsidRPr="001628F4">
        <w:rPr>
          <w:sz w:val="24"/>
          <w:szCs w:val="24"/>
        </w:rPr>
        <w:t xml:space="preserve">The NVTA Portfolio average duration is </w:t>
      </w:r>
      <w:r w:rsidR="006D6EE5">
        <w:rPr>
          <w:sz w:val="24"/>
          <w:szCs w:val="24"/>
        </w:rPr>
        <w:t xml:space="preserve">under </w:t>
      </w:r>
      <w:r w:rsidRPr="001628F4">
        <w:rPr>
          <w:sz w:val="24"/>
          <w:szCs w:val="24"/>
        </w:rPr>
        <w:t>6 months (.4</w:t>
      </w:r>
      <w:r w:rsidR="006D6EE5">
        <w:rPr>
          <w:sz w:val="24"/>
          <w:szCs w:val="24"/>
        </w:rPr>
        <w:t>3</w:t>
      </w:r>
      <w:r w:rsidRPr="001628F4">
        <w:rPr>
          <w:sz w:val="24"/>
          <w:szCs w:val="24"/>
        </w:rPr>
        <w:t>). Given the flat yield curve,</w:t>
      </w:r>
      <w:r w:rsidR="0011379C" w:rsidRPr="001628F4">
        <w:rPr>
          <w:sz w:val="24"/>
          <w:szCs w:val="24"/>
        </w:rPr>
        <w:t xml:space="preserve"> however,</w:t>
      </w:r>
      <w:r w:rsidRPr="001628F4">
        <w:rPr>
          <w:sz w:val="24"/>
          <w:szCs w:val="24"/>
        </w:rPr>
        <w:t xml:space="preserve"> the NVTA </w:t>
      </w:r>
      <w:r w:rsidR="0011379C" w:rsidRPr="001628F4">
        <w:rPr>
          <w:sz w:val="24"/>
          <w:szCs w:val="24"/>
        </w:rPr>
        <w:t>has</w:t>
      </w:r>
      <w:r w:rsidRPr="001628F4">
        <w:rPr>
          <w:sz w:val="24"/>
          <w:szCs w:val="24"/>
        </w:rPr>
        <w:t xml:space="preserve"> not sacrifice</w:t>
      </w:r>
      <w:r w:rsidR="0011379C" w:rsidRPr="001628F4">
        <w:rPr>
          <w:sz w:val="24"/>
          <w:szCs w:val="24"/>
        </w:rPr>
        <w:t>d</w:t>
      </w:r>
      <w:r w:rsidRPr="001628F4">
        <w:rPr>
          <w:sz w:val="24"/>
          <w:szCs w:val="24"/>
        </w:rPr>
        <w:t xml:space="preserve"> yield by investing in short maturities</w:t>
      </w:r>
      <w:r w:rsidR="0011379C" w:rsidRPr="001628F4">
        <w:rPr>
          <w:sz w:val="24"/>
          <w:szCs w:val="24"/>
        </w:rPr>
        <w:t xml:space="preserve"> or pursuing a short duration strategy (</w:t>
      </w:r>
      <w:r w:rsidR="003B4C77">
        <w:rPr>
          <w:sz w:val="24"/>
          <w:szCs w:val="24"/>
        </w:rPr>
        <w:t xml:space="preserve">nearly </w:t>
      </w:r>
      <w:r w:rsidR="0011379C" w:rsidRPr="001628F4">
        <w:rPr>
          <w:sz w:val="24"/>
          <w:szCs w:val="24"/>
        </w:rPr>
        <w:t>50% of the portfolio is in 0-3 Month Maturities).</w:t>
      </w:r>
      <w:r w:rsidR="00367926" w:rsidRPr="001628F4">
        <w:rPr>
          <w:sz w:val="24"/>
          <w:szCs w:val="24"/>
        </w:rPr>
        <w:t xml:space="preserve"> </w:t>
      </w:r>
    </w:p>
    <w:p w14:paraId="6FDBE321" w14:textId="77777777" w:rsidR="006D6EE5" w:rsidRPr="006D6EE5" w:rsidRDefault="002C66D4" w:rsidP="001628F4">
      <w:pPr>
        <w:pStyle w:val="ListParagraph"/>
        <w:numPr>
          <w:ilvl w:val="2"/>
          <w:numId w:val="4"/>
        </w:numPr>
        <w:spacing w:line="240" w:lineRule="auto"/>
        <w:rPr>
          <w:b/>
          <w:sz w:val="24"/>
          <w:szCs w:val="24"/>
        </w:rPr>
      </w:pPr>
      <w:r w:rsidRPr="001628F4">
        <w:rPr>
          <w:sz w:val="24"/>
          <w:szCs w:val="24"/>
        </w:rPr>
        <w:t xml:space="preserve">Analysis of forward transportation project liabilities </w:t>
      </w:r>
      <w:r w:rsidR="00D6662A">
        <w:rPr>
          <w:sz w:val="24"/>
          <w:szCs w:val="24"/>
        </w:rPr>
        <w:t xml:space="preserve">(reimbursements) </w:t>
      </w:r>
      <w:r w:rsidRPr="001628F4">
        <w:rPr>
          <w:sz w:val="24"/>
          <w:szCs w:val="24"/>
        </w:rPr>
        <w:t>associated with the Six Year P</w:t>
      </w:r>
      <w:r w:rsidR="00B131FC" w:rsidRPr="001628F4">
        <w:rPr>
          <w:sz w:val="24"/>
          <w:szCs w:val="24"/>
        </w:rPr>
        <w:t>rogram</w:t>
      </w:r>
      <w:r w:rsidR="00F32C66" w:rsidRPr="001628F4">
        <w:rPr>
          <w:sz w:val="24"/>
          <w:szCs w:val="24"/>
        </w:rPr>
        <w:t xml:space="preserve"> </w:t>
      </w:r>
      <w:r w:rsidRPr="001628F4">
        <w:rPr>
          <w:sz w:val="24"/>
          <w:szCs w:val="24"/>
        </w:rPr>
        <w:t xml:space="preserve">found that the portfolio </w:t>
      </w:r>
      <w:r w:rsidR="00F32C66" w:rsidRPr="001628F4">
        <w:rPr>
          <w:sz w:val="24"/>
          <w:szCs w:val="24"/>
        </w:rPr>
        <w:t>has the flexibility to</w:t>
      </w:r>
      <w:r w:rsidRPr="001628F4">
        <w:rPr>
          <w:sz w:val="24"/>
          <w:szCs w:val="24"/>
        </w:rPr>
        <w:t xml:space="preserve"> extend</w:t>
      </w:r>
      <w:r w:rsidR="00F32C66" w:rsidRPr="001628F4">
        <w:rPr>
          <w:sz w:val="24"/>
          <w:szCs w:val="24"/>
        </w:rPr>
        <w:t xml:space="preserve"> modestly</w:t>
      </w:r>
      <w:r w:rsidRPr="001628F4">
        <w:rPr>
          <w:sz w:val="24"/>
          <w:szCs w:val="24"/>
        </w:rPr>
        <w:t xml:space="preserve"> to 2-3 year</w:t>
      </w:r>
      <w:r w:rsidR="00B35B02" w:rsidRPr="001628F4">
        <w:rPr>
          <w:sz w:val="24"/>
          <w:szCs w:val="24"/>
        </w:rPr>
        <w:t xml:space="preserve"> </w:t>
      </w:r>
      <w:r w:rsidRPr="001628F4">
        <w:rPr>
          <w:sz w:val="24"/>
          <w:szCs w:val="24"/>
        </w:rPr>
        <w:t>maturities</w:t>
      </w:r>
      <w:r w:rsidR="00F32C66" w:rsidRPr="001628F4">
        <w:rPr>
          <w:sz w:val="24"/>
          <w:szCs w:val="24"/>
        </w:rPr>
        <w:t xml:space="preserve"> (</w:t>
      </w:r>
      <w:r w:rsidRPr="001628F4">
        <w:rPr>
          <w:sz w:val="24"/>
          <w:szCs w:val="24"/>
        </w:rPr>
        <w:t>3.55% of the portfolio</w:t>
      </w:r>
      <w:r w:rsidR="00F32C66" w:rsidRPr="001628F4">
        <w:rPr>
          <w:sz w:val="24"/>
          <w:szCs w:val="24"/>
        </w:rPr>
        <w:t xml:space="preserve"> at present).</w:t>
      </w:r>
    </w:p>
    <w:p w14:paraId="73691500" w14:textId="77777777" w:rsidR="006D6EE5" w:rsidRPr="001628F4" w:rsidRDefault="006D6EE5" w:rsidP="006D6EE5">
      <w:pPr>
        <w:pStyle w:val="ListParagraph"/>
        <w:spacing w:line="240" w:lineRule="auto"/>
        <w:ind w:left="1080"/>
        <w:rPr>
          <w:b/>
          <w:sz w:val="24"/>
          <w:szCs w:val="24"/>
        </w:rPr>
      </w:pPr>
    </w:p>
    <w:p w14:paraId="5AF82335" w14:textId="77777777" w:rsidR="0011379C" w:rsidRPr="001628F4" w:rsidRDefault="0011379C" w:rsidP="001628F4">
      <w:pPr>
        <w:pStyle w:val="ListParagraph"/>
        <w:numPr>
          <w:ilvl w:val="1"/>
          <w:numId w:val="4"/>
        </w:numPr>
        <w:spacing w:line="240" w:lineRule="auto"/>
        <w:rPr>
          <w:b/>
          <w:sz w:val="24"/>
          <w:szCs w:val="24"/>
        </w:rPr>
      </w:pPr>
      <w:r w:rsidRPr="001628F4">
        <w:rPr>
          <w:b/>
          <w:sz w:val="24"/>
          <w:szCs w:val="24"/>
        </w:rPr>
        <w:t xml:space="preserve">Yield: </w:t>
      </w:r>
    </w:p>
    <w:p w14:paraId="4267BFE3" w14:textId="57953E85" w:rsidR="00E55678" w:rsidRPr="00E55678" w:rsidRDefault="005A5300" w:rsidP="00E55678">
      <w:pPr>
        <w:pStyle w:val="ListParagraph"/>
        <w:numPr>
          <w:ilvl w:val="2"/>
          <w:numId w:val="4"/>
        </w:numPr>
        <w:spacing w:line="240" w:lineRule="auto"/>
        <w:rPr>
          <w:b/>
          <w:sz w:val="24"/>
          <w:szCs w:val="24"/>
        </w:rPr>
      </w:pPr>
      <w:r w:rsidRPr="00E55678">
        <w:rPr>
          <w:sz w:val="24"/>
          <w:szCs w:val="24"/>
        </w:rPr>
        <w:t>Federal Reserve Raises Rates</w:t>
      </w:r>
      <w:r w:rsidR="0011379C" w:rsidRPr="00E55678">
        <w:rPr>
          <w:sz w:val="24"/>
          <w:szCs w:val="24"/>
        </w:rPr>
        <w:t>:</w:t>
      </w:r>
      <w:r w:rsidR="0011379C" w:rsidRPr="001628F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Federal Funds Rate was raised to a range of 2% to 2.25% at the Federal Open Market Committee Reserve Meeting in late September. The November </w:t>
      </w:r>
      <w:r w:rsidR="00E55678">
        <w:rPr>
          <w:sz w:val="24"/>
          <w:szCs w:val="24"/>
        </w:rPr>
        <w:t>I</w:t>
      </w:r>
      <w:r>
        <w:rPr>
          <w:sz w:val="24"/>
          <w:szCs w:val="24"/>
        </w:rPr>
        <w:t xml:space="preserve">nvestment </w:t>
      </w:r>
      <w:r w:rsidR="00E55678">
        <w:rPr>
          <w:sz w:val="24"/>
          <w:szCs w:val="24"/>
        </w:rPr>
        <w:t>R</w:t>
      </w:r>
      <w:r>
        <w:rPr>
          <w:sz w:val="24"/>
          <w:szCs w:val="24"/>
        </w:rPr>
        <w:t xml:space="preserve">eport will reflect a step up in performance during October as NVTA has obtained </w:t>
      </w:r>
      <w:r w:rsidR="003B4C77">
        <w:rPr>
          <w:sz w:val="24"/>
          <w:szCs w:val="24"/>
        </w:rPr>
        <w:t>greater</w:t>
      </w:r>
      <w:r>
        <w:rPr>
          <w:sz w:val="24"/>
          <w:szCs w:val="24"/>
        </w:rPr>
        <w:t xml:space="preserve"> yielding Agencies and Treasuries instruments in the </w:t>
      </w:r>
      <w:r w:rsidR="00E55678">
        <w:rPr>
          <w:sz w:val="24"/>
          <w:szCs w:val="24"/>
        </w:rPr>
        <w:t xml:space="preserve">average </w:t>
      </w:r>
      <w:r>
        <w:rPr>
          <w:sz w:val="24"/>
          <w:szCs w:val="24"/>
        </w:rPr>
        <w:t>range of 2.</w:t>
      </w:r>
      <w:r w:rsidR="00E55678">
        <w:rPr>
          <w:sz w:val="24"/>
          <w:szCs w:val="24"/>
        </w:rPr>
        <w:t>87</w:t>
      </w:r>
      <w:r>
        <w:rPr>
          <w:sz w:val="24"/>
          <w:szCs w:val="24"/>
        </w:rPr>
        <w:t xml:space="preserve">% </w:t>
      </w:r>
      <w:r w:rsidR="00E55678">
        <w:rPr>
          <w:sz w:val="24"/>
          <w:szCs w:val="24"/>
        </w:rPr>
        <w:t xml:space="preserve">(as high as 3.01%) </w:t>
      </w:r>
      <w:r>
        <w:rPr>
          <w:sz w:val="24"/>
          <w:szCs w:val="24"/>
        </w:rPr>
        <w:t xml:space="preserve">as a result of the Fed rate increase.  </w:t>
      </w:r>
      <w:r w:rsidRPr="001628F4">
        <w:rPr>
          <w:sz w:val="24"/>
          <w:szCs w:val="24"/>
        </w:rPr>
        <w:t xml:space="preserve"> </w:t>
      </w:r>
    </w:p>
    <w:p w14:paraId="6E760436" w14:textId="77777777" w:rsidR="00E55678" w:rsidRPr="00E55678" w:rsidRDefault="00E55678" w:rsidP="00E55678">
      <w:pPr>
        <w:pStyle w:val="ListParagraph"/>
        <w:spacing w:line="240" w:lineRule="auto"/>
        <w:ind w:left="1080"/>
        <w:rPr>
          <w:b/>
          <w:sz w:val="24"/>
          <w:szCs w:val="24"/>
        </w:rPr>
      </w:pPr>
    </w:p>
    <w:p w14:paraId="76FE8445" w14:textId="0D666CEE" w:rsidR="0004220A" w:rsidRPr="001628F4" w:rsidRDefault="00520489" w:rsidP="001628F4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1628F4">
        <w:rPr>
          <w:b/>
          <w:sz w:val="24"/>
          <w:szCs w:val="24"/>
        </w:rPr>
        <w:t>Custodian</w:t>
      </w:r>
      <w:r w:rsidR="008C4BFC">
        <w:rPr>
          <w:b/>
          <w:sz w:val="24"/>
          <w:szCs w:val="24"/>
        </w:rPr>
        <w:t>/Safekeeping</w:t>
      </w:r>
      <w:r w:rsidR="008C214C" w:rsidRPr="001628F4">
        <w:rPr>
          <w:b/>
          <w:sz w:val="24"/>
          <w:szCs w:val="24"/>
        </w:rPr>
        <w:t>:</w:t>
      </w:r>
      <w:r w:rsidR="008C214C" w:rsidRPr="001628F4">
        <w:rPr>
          <w:sz w:val="24"/>
          <w:szCs w:val="24"/>
        </w:rPr>
        <w:t xml:space="preserve"> </w:t>
      </w:r>
      <w:r w:rsidR="00367926" w:rsidRPr="001628F4">
        <w:rPr>
          <w:sz w:val="24"/>
          <w:szCs w:val="24"/>
        </w:rPr>
        <w:t xml:space="preserve">BB&amp;T Retirement &amp; Institutional Services is the custodian of all </w:t>
      </w:r>
      <w:r w:rsidR="00440C68" w:rsidRPr="001628F4">
        <w:rPr>
          <w:sz w:val="24"/>
          <w:szCs w:val="24"/>
        </w:rPr>
        <w:t xml:space="preserve">of </w:t>
      </w:r>
      <w:r w:rsidR="00367926" w:rsidRPr="001628F4">
        <w:rPr>
          <w:sz w:val="24"/>
          <w:szCs w:val="24"/>
        </w:rPr>
        <w:t>NVTA</w:t>
      </w:r>
      <w:r w:rsidR="00440C68" w:rsidRPr="001628F4">
        <w:rPr>
          <w:sz w:val="24"/>
          <w:szCs w:val="24"/>
        </w:rPr>
        <w:t xml:space="preserve">’s </w:t>
      </w:r>
      <w:r w:rsidR="00367926" w:rsidRPr="001628F4">
        <w:rPr>
          <w:sz w:val="24"/>
          <w:szCs w:val="24"/>
        </w:rPr>
        <w:t>investment</w:t>
      </w:r>
      <w:r w:rsidR="00035D43">
        <w:rPr>
          <w:sz w:val="24"/>
          <w:szCs w:val="24"/>
        </w:rPr>
        <w:t xml:space="preserve"> purchases</w:t>
      </w:r>
      <w:r w:rsidR="00440C68" w:rsidRPr="001628F4">
        <w:rPr>
          <w:sz w:val="24"/>
          <w:szCs w:val="24"/>
        </w:rPr>
        <w:t xml:space="preserve"> and is where all of NVTA’s non-deposit investments are held. </w:t>
      </w:r>
      <w:r w:rsidR="00D6662A">
        <w:rPr>
          <w:sz w:val="24"/>
          <w:szCs w:val="24"/>
        </w:rPr>
        <w:t xml:space="preserve"> </w:t>
      </w:r>
      <w:r w:rsidR="00440C68" w:rsidRPr="001628F4">
        <w:rPr>
          <w:sz w:val="24"/>
          <w:szCs w:val="24"/>
        </w:rPr>
        <w:t>Deposit</w:t>
      </w:r>
      <w:r w:rsidR="00035D43">
        <w:rPr>
          <w:sz w:val="24"/>
          <w:szCs w:val="24"/>
        </w:rPr>
        <w:t xml:space="preserve"> </w:t>
      </w:r>
      <w:r w:rsidR="00440C68" w:rsidRPr="001628F4">
        <w:rPr>
          <w:sz w:val="24"/>
          <w:szCs w:val="24"/>
        </w:rPr>
        <w:t>type investments are protected</w:t>
      </w:r>
      <w:r w:rsidR="00DC1B8B" w:rsidRPr="001628F4">
        <w:rPr>
          <w:sz w:val="24"/>
          <w:szCs w:val="24"/>
        </w:rPr>
        <w:t xml:space="preserve"> through the Commonwealth of Virginia </w:t>
      </w:r>
      <w:r w:rsidR="00440C68" w:rsidRPr="001628F4">
        <w:rPr>
          <w:sz w:val="24"/>
          <w:szCs w:val="24"/>
        </w:rPr>
        <w:t>collateralization</w:t>
      </w:r>
      <w:r w:rsidR="00DC1B8B" w:rsidRPr="001628F4">
        <w:rPr>
          <w:sz w:val="24"/>
          <w:szCs w:val="24"/>
        </w:rPr>
        <w:t xml:space="preserve"> program</w:t>
      </w:r>
      <w:r w:rsidR="00440C68" w:rsidRPr="001628F4">
        <w:rPr>
          <w:sz w:val="24"/>
          <w:szCs w:val="24"/>
        </w:rPr>
        <w:t xml:space="preserve"> or FDIC Insurance.</w:t>
      </w:r>
      <w:r w:rsidR="00DC1B8B" w:rsidRPr="001628F4">
        <w:rPr>
          <w:sz w:val="24"/>
          <w:szCs w:val="24"/>
        </w:rPr>
        <w:t xml:space="preserve"> </w:t>
      </w:r>
      <w:r w:rsidR="00440C68" w:rsidRPr="001628F4">
        <w:rPr>
          <w:sz w:val="24"/>
          <w:szCs w:val="24"/>
        </w:rPr>
        <w:t xml:space="preserve"> </w:t>
      </w:r>
    </w:p>
    <w:p w14:paraId="721C26A5" w14:textId="77777777" w:rsidR="00F32C66" w:rsidRPr="001628F4" w:rsidRDefault="00F32C66" w:rsidP="001628F4">
      <w:pPr>
        <w:pStyle w:val="ListParagraph"/>
        <w:spacing w:line="240" w:lineRule="auto"/>
        <w:ind w:left="360"/>
        <w:rPr>
          <w:sz w:val="24"/>
          <w:szCs w:val="24"/>
        </w:rPr>
      </w:pPr>
    </w:p>
    <w:p w14:paraId="7F372738" w14:textId="414AF53A" w:rsidR="00BB78BE" w:rsidRPr="001628F4" w:rsidRDefault="004D07F7" w:rsidP="001628F4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1628F4">
        <w:rPr>
          <w:b/>
          <w:sz w:val="24"/>
          <w:szCs w:val="24"/>
        </w:rPr>
        <w:t>Policy Required Reports:</w:t>
      </w:r>
      <w:r w:rsidRPr="001628F4">
        <w:rPr>
          <w:sz w:val="24"/>
          <w:szCs w:val="24"/>
        </w:rPr>
        <w:t xml:space="preserve">  </w:t>
      </w:r>
      <w:r w:rsidR="00C06762" w:rsidRPr="001628F4">
        <w:rPr>
          <w:sz w:val="24"/>
          <w:szCs w:val="24"/>
        </w:rPr>
        <w:t>T</w:t>
      </w:r>
      <w:r w:rsidR="00BB78BE" w:rsidRPr="001628F4">
        <w:rPr>
          <w:sz w:val="24"/>
          <w:szCs w:val="24"/>
        </w:rPr>
        <w:t xml:space="preserve">he </w:t>
      </w:r>
      <w:r w:rsidR="00D6662A">
        <w:rPr>
          <w:sz w:val="24"/>
          <w:szCs w:val="24"/>
        </w:rPr>
        <w:t>attached</w:t>
      </w:r>
      <w:r w:rsidR="00BB78BE" w:rsidRPr="001628F4">
        <w:rPr>
          <w:sz w:val="24"/>
          <w:szCs w:val="24"/>
        </w:rPr>
        <w:t xml:space="preserve"> </w:t>
      </w:r>
      <w:r w:rsidR="00915FD5" w:rsidRPr="00D6662A">
        <w:rPr>
          <w:sz w:val="24"/>
          <w:szCs w:val="24"/>
        </w:rPr>
        <w:t xml:space="preserve">Compliance - GASB 40 Report </w:t>
      </w:r>
      <w:r w:rsidR="00BB78BE" w:rsidRPr="001628F4">
        <w:rPr>
          <w:sz w:val="24"/>
          <w:szCs w:val="24"/>
        </w:rPr>
        <w:t>address</w:t>
      </w:r>
      <w:r w:rsidR="00915FD5">
        <w:rPr>
          <w:sz w:val="24"/>
          <w:szCs w:val="24"/>
        </w:rPr>
        <w:t>es</w:t>
      </w:r>
      <w:r w:rsidR="00BB78BE" w:rsidRPr="001628F4">
        <w:rPr>
          <w:sz w:val="24"/>
          <w:szCs w:val="24"/>
        </w:rPr>
        <w:t xml:space="preserve"> </w:t>
      </w:r>
      <w:r w:rsidR="00724CE6" w:rsidRPr="001628F4">
        <w:rPr>
          <w:sz w:val="24"/>
          <w:szCs w:val="24"/>
        </w:rPr>
        <w:t xml:space="preserve">specific </w:t>
      </w:r>
      <w:r w:rsidR="00BB78BE" w:rsidRPr="001628F4">
        <w:rPr>
          <w:sz w:val="24"/>
          <w:szCs w:val="24"/>
        </w:rPr>
        <w:t xml:space="preserve">Investment Policy requirements regarding the purchase and holding of securities.  The attached </w:t>
      </w:r>
      <w:r w:rsidR="006A416C" w:rsidRPr="001628F4">
        <w:rPr>
          <w:sz w:val="24"/>
          <w:szCs w:val="24"/>
        </w:rPr>
        <w:t xml:space="preserve">report, </w:t>
      </w:r>
      <w:r w:rsidR="00440C68" w:rsidRPr="001628F4">
        <w:rPr>
          <w:sz w:val="24"/>
          <w:szCs w:val="24"/>
        </w:rPr>
        <w:t>documents</w:t>
      </w:r>
      <w:r w:rsidR="00BB78BE" w:rsidRPr="001628F4">
        <w:rPr>
          <w:sz w:val="24"/>
          <w:szCs w:val="24"/>
        </w:rPr>
        <w:t>:</w:t>
      </w:r>
    </w:p>
    <w:p w14:paraId="01E89013" w14:textId="76DFE189" w:rsidR="00BB78BE" w:rsidRPr="001628F4" w:rsidRDefault="00BB78BE" w:rsidP="001628F4">
      <w:pPr>
        <w:pStyle w:val="ListParagraph"/>
        <w:numPr>
          <w:ilvl w:val="1"/>
          <w:numId w:val="6"/>
        </w:numPr>
        <w:spacing w:line="240" w:lineRule="auto"/>
        <w:rPr>
          <w:sz w:val="24"/>
          <w:szCs w:val="24"/>
        </w:rPr>
      </w:pPr>
      <w:r w:rsidRPr="001628F4">
        <w:rPr>
          <w:b/>
          <w:sz w:val="24"/>
          <w:szCs w:val="24"/>
        </w:rPr>
        <w:t>Compliance – Investment Policy, Summary.</w:t>
      </w:r>
      <w:r w:rsidRPr="001628F4">
        <w:rPr>
          <w:sz w:val="24"/>
          <w:szCs w:val="24"/>
        </w:rPr>
        <w:t xml:space="preserve">  Th</w:t>
      </w:r>
      <w:r w:rsidR="00F32C66" w:rsidRPr="001628F4">
        <w:rPr>
          <w:sz w:val="24"/>
          <w:szCs w:val="24"/>
        </w:rPr>
        <w:t>e</w:t>
      </w:r>
      <w:r w:rsidRPr="001628F4">
        <w:rPr>
          <w:sz w:val="24"/>
          <w:szCs w:val="24"/>
        </w:rPr>
        <w:t xml:space="preserve"> report shows the percentage of the portfolio </w:t>
      </w:r>
      <w:r w:rsidR="00887C97" w:rsidRPr="001628F4">
        <w:rPr>
          <w:sz w:val="24"/>
          <w:szCs w:val="24"/>
        </w:rPr>
        <w:t>by</w:t>
      </w:r>
      <w:r w:rsidRPr="001628F4">
        <w:rPr>
          <w:sz w:val="24"/>
          <w:szCs w:val="24"/>
        </w:rPr>
        <w:t xml:space="preserve"> each type of investment.</w:t>
      </w:r>
      <w:r w:rsidRPr="001628F4">
        <w:rPr>
          <w:sz w:val="24"/>
          <w:szCs w:val="24"/>
          <w:u w:val="single"/>
        </w:rPr>
        <w:t xml:space="preserve"> </w:t>
      </w:r>
    </w:p>
    <w:p w14:paraId="51EBDEC6" w14:textId="26F8520D" w:rsidR="00BB78BE" w:rsidRPr="001628F4" w:rsidRDefault="00BB78BE" w:rsidP="001628F4">
      <w:pPr>
        <w:pStyle w:val="ListParagraph"/>
        <w:numPr>
          <w:ilvl w:val="1"/>
          <w:numId w:val="6"/>
        </w:numPr>
        <w:spacing w:line="240" w:lineRule="auto"/>
        <w:rPr>
          <w:sz w:val="24"/>
          <w:szCs w:val="24"/>
        </w:rPr>
      </w:pPr>
      <w:r w:rsidRPr="001628F4">
        <w:rPr>
          <w:b/>
          <w:sz w:val="24"/>
          <w:szCs w:val="24"/>
        </w:rPr>
        <w:t>Investment Portfolio – By Maturity Range.</w:t>
      </w:r>
      <w:r w:rsidRPr="001628F4">
        <w:rPr>
          <w:sz w:val="24"/>
          <w:szCs w:val="24"/>
        </w:rPr>
        <w:t xml:space="preserve">  Th</w:t>
      </w:r>
      <w:r w:rsidR="00F32C66" w:rsidRPr="001628F4">
        <w:rPr>
          <w:sz w:val="24"/>
          <w:szCs w:val="24"/>
        </w:rPr>
        <w:t>e</w:t>
      </w:r>
      <w:r w:rsidRPr="001628F4">
        <w:rPr>
          <w:sz w:val="24"/>
          <w:szCs w:val="24"/>
        </w:rPr>
        <w:t xml:space="preserve"> report shows the yield to maturity, and percentage of the portfolio which each type of investment represents.</w:t>
      </w:r>
    </w:p>
    <w:p w14:paraId="60CE42C6" w14:textId="79B60AD8" w:rsidR="00BB78BE" w:rsidRPr="00D6662A" w:rsidRDefault="00BB78BE" w:rsidP="001628F4">
      <w:pPr>
        <w:pStyle w:val="ListParagraph"/>
        <w:numPr>
          <w:ilvl w:val="1"/>
          <w:numId w:val="6"/>
        </w:numPr>
        <w:spacing w:line="240" w:lineRule="auto"/>
        <w:rPr>
          <w:sz w:val="24"/>
          <w:szCs w:val="24"/>
        </w:rPr>
      </w:pPr>
      <w:r w:rsidRPr="001628F4">
        <w:rPr>
          <w:b/>
          <w:sz w:val="24"/>
          <w:szCs w:val="24"/>
        </w:rPr>
        <w:t>Portfolio Holdings by Custodian</w:t>
      </w:r>
      <w:r w:rsidRPr="001628F4">
        <w:rPr>
          <w:sz w:val="24"/>
          <w:szCs w:val="24"/>
        </w:rPr>
        <w:t>.  This report shows each depository, investment firm or custodian holding NVTA securities or cash.</w:t>
      </w:r>
    </w:p>
    <w:p w14:paraId="57CB05D7" w14:textId="77777777" w:rsidR="00D6662A" w:rsidRPr="001628F4" w:rsidRDefault="00D6662A" w:rsidP="00D6662A">
      <w:pPr>
        <w:pStyle w:val="ListParagraph"/>
        <w:spacing w:line="240" w:lineRule="auto"/>
        <w:rPr>
          <w:sz w:val="24"/>
          <w:szCs w:val="24"/>
        </w:rPr>
      </w:pPr>
    </w:p>
    <w:p w14:paraId="0D02BA10" w14:textId="43AB5CDD" w:rsidR="003B4C77" w:rsidRDefault="00623ECC" w:rsidP="003B4C77">
      <w:pPr>
        <w:pStyle w:val="ListParagraph"/>
        <w:numPr>
          <w:ilvl w:val="0"/>
          <w:numId w:val="8"/>
        </w:numPr>
        <w:spacing w:line="240" w:lineRule="auto"/>
        <w:rPr>
          <w:b/>
          <w:sz w:val="24"/>
          <w:szCs w:val="24"/>
        </w:rPr>
      </w:pPr>
      <w:r w:rsidRPr="001628F4">
        <w:rPr>
          <w:b/>
          <w:sz w:val="24"/>
          <w:szCs w:val="24"/>
        </w:rPr>
        <w:t xml:space="preserve">Investment </w:t>
      </w:r>
      <w:r w:rsidR="00A51E90" w:rsidRPr="001628F4">
        <w:rPr>
          <w:b/>
          <w:sz w:val="24"/>
          <w:szCs w:val="24"/>
        </w:rPr>
        <w:t>Repositioning</w:t>
      </w:r>
      <w:r w:rsidR="00D6662A">
        <w:rPr>
          <w:b/>
          <w:sz w:val="24"/>
          <w:szCs w:val="24"/>
        </w:rPr>
        <w:t>,</w:t>
      </w:r>
      <w:r w:rsidRPr="001628F4">
        <w:rPr>
          <w:b/>
          <w:sz w:val="24"/>
          <w:szCs w:val="24"/>
        </w:rPr>
        <w:t xml:space="preserve"> </w:t>
      </w:r>
      <w:r w:rsidRPr="00D6662A">
        <w:rPr>
          <w:b/>
          <w:sz w:val="24"/>
          <w:szCs w:val="24"/>
        </w:rPr>
        <w:t>Exiting the VIP 1-3 High Quality Bond Fund</w:t>
      </w:r>
      <w:r w:rsidR="00D6662A">
        <w:rPr>
          <w:b/>
          <w:sz w:val="24"/>
          <w:szCs w:val="24"/>
        </w:rPr>
        <w:t>:</w:t>
      </w:r>
    </w:p>
    <w:p w14:paraId="20166CBE" w14:textId="77777777" w:rsidR="003B4C77" w:rsidRPr="003B4C77" w:rsidRDefault="003B4C77" w:rsidP="003B4C77">
      <w:pPr>
        <w:pStyle w:val="ListParagraph"/>
        <w:spacing w:line="240" w:lineRule="auto"/>
        <w:ind w:left="360"/>
        <w:rPr>
          <w:b/>
          <w:sz w:val="24"/>
          <w:szCs w:val="24"/>
        </w:rPr>
      </w:pPr>
    </w:p>
    <w:p w14:paraId="673DA938" w14:textId="2B22EAAA" w:rsidR="008C4BFC" w:rsidRPr="008C4BFC" w:rsidRDefault="00CB6797" w:rsidP="003B4C77">
      <w:pPr>
        <w:pStyle w:val="ListParagraph"/>
        <w:numPr>
          <w:ilvl w:val="2"/>
          <w:numId w:val="12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Reposition Plan </w:t>
      </w:r>
      <w:r w:rsidR="003B4C77" w:rsidRPr="003B4C77">
        <w:rPr>
          <w:b/>
          <w:sz w:val="24"/>
          <w:szCs w:val="24"/>
        </w:rPr>
        <w:t xml:space="preserve">Update: </w:t>
      </w:r>
      <w:r w:rsidR="003B4C77" w:rsidRPr="003B4C77">
        <w:rPr>
          <w:sz w:val="24"/>
          <w:szCs w:val="24"/>
        </w:rPr>
        <w:t>The VIP</w:t>
      </w:r>
      <w:r w:rsidR="003B4C77">
        <w:rPr>
          <w:b/>
          <w:sz w:val="24"/>
          <w:szCs w:val="24"/>
        </w:rPr>
        <w:t xml:space="preserve"> </w:t>
      </w:r>
      <w:r w:rsidR="003B4C77" w:rsidRPr="003B4C77">
        <w:rPr>
          <w:sz w:val="24"/>
          <w:szCs w:val="24"/>
        </w:rPr>
        <w:t>1-3</w:t>
      </w:r>
      <w:r w:rsidR="003B4C77">
        <w:rPr>
          <w:b/>
          <w:sz w:val="24"/>
          <w:szCs w:val="24"/>
        </w:rPr>
        <w:t xml:space="preserve"> </w:t>
      </w:r>
      <w:r w:rsidR="003B4C77" w:rsidRPr="003B4C77">
        <w:rPr>
          <w:sz w:val="24"/>
          <w:szCs w:val="24"/>
        </w:rPr>
        <w:t>Bond Fund was exited</w:t>
      </w:r>
      <w:r w:rsidR="003B4C77">
        <w:rPr>
          <w:b/>
          <w:sz w:val="24"/>
          <w:szCs w:val="24"/>
        </w:rPr>
        <w:t xml:space="preserve"> </w:t>
      </w:r>
      <w:r w:rsidR="003B4C77">
        <w:rPr>
          <w:sz w:val="24"/>
          <w:szCs w:val="24"/>
        </w:rPr>
        <w:t>on September 28, 2018 with a mark-to-market loss of $842,554.07</w:t>
      </w:r>
      <w:r w:rsidR="002E07FF">
        <w:rPr>
          <w:sz w:val="24"/>
          <w:szCs w:val="24"/>
        </w:rPr>
        <w:t xml:space="preserve"> that was </w:t>
      </w:r>
      <w:r w:rsidR="008C4BFC">
        <w:rPr>
          <w:sz w:val="24"/>
          <w:szCs w:val="24"/>
        </w:rPr>
        <w:t xml:space="preserve">an </w:t>
      </w:r>
      <w:r w:rsidR="002E07FF">
        <w:rPr>
          <w:sz w:val="24"/>
          <w:szCs w:val="24"/>
        </w:rPr>
        <w:t>$</w:t>
      </w:r>
      <w:r w:rsidR="008C4BFC">
        <w:rPr>
          <w:sz w:val="24"/>
          <w:szCs w:val="24"/>
        </w:rPr>
        <w:t>89,332</w:t>
      </w:r>
      <w:r w:rsidR="002E07FF">
        <w:rPr>
          <w:sz w:val="24"/>
          <w:szCs w:val="24"/>
        </w:rPr>
        <w:t xml:space="preserve"> higher loss than forecast. </w:t>
      </w:r>
      <w:r w:rsidR="008C4BFC">
        <w:rPr>
          <w:sz w:val="24"/>
          <w:szCs w:val="24"/>
        </w:rPr>
        <w:t xml:space="preserve">The recovery of the mark-to-market loss will occur in 1 year.  Two occurrences are related to the greater than expected </w:t>
      </w:r>
      <w:r w:rsidR="00D91A6B">
        <w:rPr>
          <w:sz w:val="24"/>
          <w:szCs w:val="24"/>
        </w:rPr>
        <w:t xml:space="preserve">Mark to Market </w:t>
      </w:r>
      <w:r w:rsidR="008C4BFC">
        <w:rPr>
          <w:sz w:val="24"/>
          <w:szCs w:val="24"/>
        </w:rPr>
        <w:t>loss:</w:t>
      </w:r>
    </w:p>
    <w:p w14:paraId="6C7C35B9" w14:textId="75914050" w:rsidR="008C4BFC" w:rsidRPr="008C4BFC" w:rsidRDefault="008C4BFC" w:rsidP="008C4BFC">
      <w:pPr>
        <w:pStyle w:val="ListParagraph"/>
        <w:numPr>
          <w:ilvl w:val="3"/>
          <w:numId w:val="12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The Federal Reserve increased rates .25%</w:t>
      </w:r>
      <w:r w:rsidR="00D91A6B">
        <w:rPr>
          <w:sz w:val="24"/>
          <w:szCs w:val="24"/>
        </w:rPr>
        <w:t>,</w:t>
      </w:r>
      <w:r>
        <w:rPr>
          <w:sz w:val="24"/>
          <w:szCs w:val="24"/>
        </w:rPr>
        <w:t xml:space="preserve"> just prior to the redemption.  While this increased the mark to market loss it also increased the reinvestment opportunity.</w:t>
      </w:r>
    </w:p>
    <w:p w14:paraId="542914BA" w14:textId="1344D468" w:rsidR="00CB6797" w:rsidRPr="00CB6797" w:rsidRDefault="008C4BFC" w:rsidP="008C4BFC">
      <w:pPr>
        <w:pStyle w:val="ListParagraph"/>
        <w:numPr>
          <w:ilvl w:val="3"/>
          <w:numId w:val="12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T</w:t>
      </w:r>
      <w:r w:rsidR="002E07FF">
        <w:rPr>
          <w:sz w:val="24"/>
          <w:szCs w:val="24"/>
        </w:rPr>
        <w:t>he VIP fund manager ha</w:t>
      </w:r>
      <w:r>
        <w:rPr>
          <w:sz w:val="24"/>
          <w:szCs w:val="24"/>
        </w:rPr>
        <w:t>s total</w:t>
      </w:r>
      <w:r w:rsidR="002E07FF">
        <w:rPr>
          <w:sz w:val="24"/>
          <w:szCs w:val="24"/>
        </w:rPr>
        <w:t xml:space="preserve"> discretion as to which investments were sold to redeem our shares.</w:t>
      </w:r>
      <w:r w:rsidR="004A71F7">
        <w:rPr>
          <w:sz w:val="24"/>
          <w:szCs w:val="24"/>
        </w:rPr>
        <w:t xml:space="preserve"> </w:t>
      </w:r>
      <w:r w:rsidR="002E07FF">
        <w:rPr>
          <w:sz w:val="24"/>
          <w:szCs w:val="24"/>
        </w:rPr>
        <w:t xml:space="preserve">   </w:t>
      </w:r>
    </w:p>
    <w:p w14:paraId="58CFB1E7" w14:textId="77777777" w:rsidR="00CB6797" w:rsidRPr="00CB6797" w:rsidRDefault="00CB6797" w:rsidP="00CB6797">
      <w:pPr>
        <w:pStyle w:val="ListParagraph"/>
        <w:spacing w:line="240" w:lineRule="auto"/>
        <w:ind w:left="1080"/>
        <w:rPr>
          <w:b/>
          <w:sz w:val="24"/>
          <w:szCs w:val="24"/>
        </w:rPr>
      </w:pPr>
    </w:p>
    <w:p w14:paraId="7AB8B82D" w14:textId="18F1EEB8" w:rsidR="00CB6797" w:rsidRPr="00CB6797" w:rsidRDefault="00D73214" w:rsidP="00CB6797">
      <w:pPr>
        <w:pStyle w:val="ListParagraph"/>
        <w:spacing w:line="240" w:lineRule="auto"/>
        <w:ind w:left="1080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Taking advantage of the </w:t>
      </w:r>
      <w:r w:rsidR="003B4C77">
        <w:rPr>
          <w:sz w:val="24"/>
          <w:szCs w:val="24"/>
        </w:rPr>
        <w:t>Federal Reserve rate increase</w:t>
      </w:r>
      <w:r w:rsidR="00D91A6B">
        <w:rPr>
          <w:sz w:val="24"/>
          <w:szCs w:val="24"/>
        </w:rPr>
        <w:t>,</w:t>
      </w:r>
      <w:r w:rsidR="00C02265">
        <w:rPr>
          <w:sz w:val="24"/>
          <w:szCs w:val="24"/>
        </w:rPr>
        <w:t xml:space="preserve"> </w:t>
      </w:r>
      <w:r w:rsidR="003B4C77">
        <w:rPr>
          <w:sz w:val="24"/>
          <w:szCs w:val="24"/>
        </w:rPr>
        <w:t xml:space="preserve">the proceeds of $46 </w:t>
      </w:r>
      <w:r w:rsidR="00D91A6B">
        <w:rPr>
          <w:sz w:val="24"/>
          <w:szCs w:val="24"/>
        </w:rPr>
        <w:t>m</w:t>
      </w:r>
      <w:r w:rsidR="003B4C77">
        <w:rPr>
          <w:sz w:val="24"/>
          <w:szCs w:val="24"/>
        </w:rPr>
        <w:t>illion were reinvested the following week</w:t>
      </w:r>
      <w:r w:rsidR="00CB6797">
        <w:rPr>
          <w:sz w:val="24"/>
          <w:szCs w:val="24"/>
        </w:rPr>
        <w:t xml:space="preserve"> in various </w:t>
      </w:r>
      <w:r>
        <w:rPr>
          <w:sz w:val="24"/>
          <w:szCs w:val="24"/>
        </w:rPr>
        <w:t xml:space="preserve">higher yielding </w:t>
      </w:r>
      <w:r w:rsidR="00CB6797">
        <w:rPr>
          <w:sz w:val="24"/>
          <w:szCs w:val="24"/>
        </w:rPr>
        <w:t xml:space="preserve">investments, such as U.S. Treasuries, J.P. Morgan commercial paper, </w:t>
      </w:r>
      <w:r w:rsidR="00D91A6B">
        <w:rPr>
          <w:sz w:val="24"/>
          <w:szCs w:val="24"/>
        </w:rPr>
        <w:t>Federal Ag</w:t>
      </w:r>
      <w:r w:rsidR="00CB6797">
        <w:rPr>
          <w:sz w:val="24"/>
          <w:szCs w:val="24"/>
        </w:rPr>
        <w:t xml:space="preserve">encies such Freddie Mac, as well as </w:t>
      </w:r>
      <w:r w:rsidR="00D91A6B">
        <w:rPr>
          <w:sz w:val="24"/>
          <w:szCs w:val="24"/>
        </w:rPr>
        <w:t xml:space="preserve">highly rated </w:t>
      </w:r>
      <w:r w:rsidR="00CB6797">
        <w:rPr>
          <w:sz w:val="24"/>
          <w:szCs w:val="24"/>
        </w:rPr>
        <w:t>corporate</w:t>
      </w:r>
      <w:r w:rsidR="00E621E0">
        <w:rPr>
          <w:sz w:val="24"/>
          <w:szCs w:val="24"/>
        </w:rPr>
        <w:t xml:space="preserve"> bonds</w:t>
      </w:r>
      <w:r w:rsidR="00CB6797">
        <w:rPr>
          <w:sz w:val="24"/>
          <w:szCs w:val="24"/>
        </w:rPr>
        <w:t xml:space="preserve"> such as BlackRock. </w:t>
      </w:r>
    </w:p>
    <w:p w14:paraId="60EFA1BA" w14:textId="77777777" w:rsidR="00CB6797" w:rsidRPr="00CB6797" w:rsidRDefault="00CB6797" w:rsidP="00CB6797">
      <w:pPr>
        <w:pStyle w:val="ListParagraph"/>
        <w:spacing w:line="240" w:lineRule="auto"/>
        <w:ind w:left="1080"/>
        <w:rPr>
          <w:b/>
          <w:sz w:val="24"/>
          <w:szCs w:val="24"/>
        </w:rPr>
      </w:pPr>
    </w:p>
    <w:p w14:paraId="6F2B2307" w14:textId="3818E3D7" w:rsidR="00791500" w:rsidRDefault="00CB6797" w:rsidP="00C02265">
      <w:pPr>
        <w:pStyle w:val="ListParagraph"/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The new investments have an average yield of 2.</w:t>
      </w:r>
      <w:r w:rsidR="00ED68FB">
        <w:rPr>
          <w:sz w:val="24"/>
          <w:szCs w:val="24"/>
        </w:rPr>
        <w:t>8</w:t>
      </w:r>
      <w:r w:rsidR="00D73214">
        <w:rPr>
          <w:sz w:val="24"/>
          <w:szCs w:val="24"/>
        </w:rPr>
        <w:t>6</w:t>
      </w:r>
      <w:r>
        <w:rPr>
          <w:sz w:val="24"/>
          <w:szCs w:val="24"/>
        </w:rPr>
        <w:t>%, as compared with the VIP 1-3 which has delivered a gross total return of 1.21%</w:t>
      </w:r>
      <w:r w:rsidR="004A71F7">
        <w:rPr>
          <w:sz w:val="24"/>
          <w:szCs w:val="24"/>
        </w:rPr>
        <w:t xml:space="preserve"> (.43% annualized)</w:t>
      </w:r>
      <w:r w:rsidR="00D73214">
        <w:rPr>
          <w:sz w:val="24"/>
          <w:szCs w:val="24"/>
        </w:rPr>
        <w:t xml:space="preserve">. The new investments are </w:t>
      </w:r>
      <w:r w:rsidR="00D91A6B">
        <w:rPr>
          <w:sz w:val="24"/>
          <w:szCs w:val="24"/>
        </w:rPr>
        <w:t xml:space="preserve">producing </w:t>
      </w:r>
      <w:r w:rsidR="00E621E0">
        <w:rPr>
          <w:sz w:val="24"/>
          <w:szCs w:val="24"/>
        </w:rPr>
        <w:t>more than twice the gross total return and 6 times the annualized.</w:t>
      </w:r>
      <w:r w:rsidR="004A71F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</w:p>
    <w:p w14:paraId="1A7CA5C1" w14:textId="77777777" w:rsidR="0016336B" w:rsidRPr="001628F4" w:rsidRDefault="0016336B" w:rsidP="001628F4">
      <w:pPr>
        <w:spacing w:after="0" w:line="240" w:lineRule="auto"/>
        <w:contextualSpacing/>
        <w:rPr>
          <w:b/>
          <w:sz w:val="24"/>
          <w:szCs w:val="24"/>
        </w:rPr>
      </w:pPr>
    </w:p>
    <w:p w14:paraId="604363E6" w14:textId="0552EA1A" w:rsidR="0016336B" w:rsidRDefault="006E5652" w:rsidP="00035D43">
      <w:pPr>
        <w:spacing w:after="0" w:line="240" w:lineRule="auto"/>
        <w:contextualSpacing/>
        <w:rPr>
          <w:sz w:val="24"/>
          <w:szCs w:val="24"/>
          <w:highlight w:val="yellow"/>
        </w:rPr>
      </w:pPr>
      <w:r w:rsidRPr="001628F4">
        <w:rPr>
          <w:b/>
          <w:sz w:val="24"/>
          <w:szCs w:val="24"/>
        </w:rPr>
        <w:t>Attachments</w:t>
      </w:r>
      <w:r w:rsidR="00601647" w:rsidRPr="001628F4">
        <w:rPr>
          <w:b/>
          <w:sz w:val="24"/>
          <w:szCs w:val="24"/>
        </w:rPr>
        <w:t>:</w:t>
      </w:r>
      <w:r w:rsidR="00D6662A">
        <w:rPr>
          <w:sz w:val="24"/>
          <w:szCs w:val="24"/>
        </w:rPr>
        <w:t xml:space="preserve">  </w:t>
      </w:r>
      <w:r w:rsidRPr="00D6662A">
        <w:rPr>
          <w:sz w:val="24"/>
          <w:szCs w:val="24"/>
        </w:rPr>
        <w:t>Compliance - GASB 40 Report</w:t>
      </w:r>
      <w:r w:rsidR="00F32C66" w:rsidRPr="00D6662A">
        <w:rPr>
          <w:sz w:val="24"/>
          <w:szCs w:val="24"/>
        </w:rPr>
        <w:t xml:space="preserve"> shows reporting requirements</w:t>
      </w:r>
      <w:r w:rsidR="0072425D" w:rsidRPr="00D6662A">
        <w:rPr>
          <w:sz w:val="24"/>
          <w:szCs w:val="24"/>
        </w:rPr>
        <w:t xml:space="preserve"> as listed above, and </w:t>
      </w:r>
      <w:r w:rsidR="00F32C66" w:rsidRPr="00D6662A">
        <w:rPr>
          <w:sz w:val="24"/>
          <w:szCs w:val="24"/>
        </w:rPr>
        <w:t xml:space="preserve">not otherwise presented.  This report is also fundamental for the Authority’s Annual Financial Statements and </w:t>
      </w:r>
      <w:r w:rsidR="0040501F" w:rsidRPr="00D6662A">
        <w:rPr>
          <w:sz w:val="24"/>
          <w:szCs w:val="24"/>
        </w:rPr>
        <w:t>a</w:t>
      </w:r>
      <w:r w:rsidR="00F32C66" w:rsidRPr="00D6662A">
        <w:rPr>
          <w:sz w:val="24"/>
          <w:szCs w:val="24"/>
        </w:rPr>
        <w:t xml:space="preserve">nnual </w:t>
      </w:r>
      <w:r w:rsidR="0040501F" w:rsidRPr="00D6662A">
        <w:rPr>
          <w:sz w:val="24"/>
          <w:szCs w:val="24"/>
        </w:rPr>
        <w:t>a</w:t>
      </w:r>
      <w:r w:rsidR="00F32C66" w:rsidRPr="00D6662A">
        <w:rPr>
          <w:sz w:val="24"/>
          <w:szCs w:val="24"/>
        </w:rPr>
        <w:t>udit.</w:t>
      </w:r>
    </w:p>
    <w:p w14:paraId="34C7CB8D" w14:textId="6FD8BAF5" w:rsidR="0016336B" w:rsidRDefault="0016336B" w:rsidP="00F47FEA">
      <w:pPr>
        <w:rPr>
          <w:sz w:val="24"/>
          <w:szCs w:val="24"/>
          <w:highlight w:val="yellow"/>
        </w:rPr>
      </w:pPr>
    </w:p>
    <w:p w14:paraId="688947EE" w14:textId="75996A45" w:rsidR="0016336B" w:rsidRDefault="0016336B" w:rsidP="00F47FEA">
      <w:pPr>
        <w:rPr>
          <w:sz w:val="24"/>
          <w:szCs w:val="24"/>
          <w:highlight w:val="yellow"/>
        </w:rPr>
      </w:pPr>
    </w:p>
    <w:p w14:paraId="198EE017" w14:textId="1C6E6645" w:rsidR="0016336B" w:rsidRDefault="0016336B" w:rsidP="00F47FEA">
      <w:pPr>
        <w:rPr>
          <w:sz w:val="24"/>
          <w:szCs w:val="24"/>
          <w:highlight w:val="yellow"/>
        </w:rPr>
      </w:pPr>
    </w:p>
    <w:p w14:paraId="5B0DA9E8" w14:textId="77DEEA81" w:rsidR="00D00976" w:rsidRPr="006E5652" w:rsidRDefault="00D00976" w:rsidP="00F47FEA">
      <w:pPr>
        <w:rPr>
          <w:sz w:val="24"/>
          <w:szCs w:val="24"/>
          <w:highlight w:val="yellow"/>
        </w:rPr>
      </w:pPr>
    </w:p>
    <w:sectPr w:rsidR="00D00976" w:rsidRPr="006E5652" w:rsidSect="008C4BF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470B90" w14:textId="77777777" w:rsidR="00956574" w:rsidRDefault="00956574" w:rsidP="00477CE8">
      <w:pPr>
        <w:spacing w:after="0" w:line="240" w:lineRule="auto"/>
      </w:pPr>
      <w:r>
        <w:separator/>
      </w:r>
    </w:p>
  </w:endnote>
  <w:endnote w:type="continuationSeparator" w:id="0">
    <w:p w14:paraId="7AFF472A" w14:textId="77777777" w:rsidR="00956574" w:rsidRDefault="00956574" w:rsidP="00477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11E2D" w14:textId="77777777" w:rsidR="006965AF" w:rsidRDefault="006965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13159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96C130" w14:textId="5784970E" w:rsidR="003D0A8E" w:rsidRDefault="003D0A8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57F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87E15D9" w14:textId="77777777" w:rsidR="003D0A8E" w:rsidRDefault="003D0A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60885" w14:textId="77777777" w:rsidR="006965AF" w:rsidRDefault="006965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3336F0" w14:textId="77777777" w:rsidR="00956574" w:rsidRDefault="00956574" w:rsidP="00477CE8">
      <w:pPr>
        <w:spacing w:after="0" w:line="240" w:lineRule="auto"/>
      </w:pPr>
      <w:r>
        <w:separator/>
      </w:r>
    </w:p>
  </w:footnote>
  <w:footnote w:type="continuationSeparator" w:id="0">
    <w:p w14:paraId="25B81328" w14:textId="77777777" w:rsidR="00956574" w:rsidRDefault="00956574" w:rsidP="00477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57D0C" w14:textId="77777777" w:rsidR="006965AF" w:rsidRDefault="006965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52B95" w14:textId="77777777" w:rsidR="006965AF" w:rsidRDefault="006965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C2E9A" w14:textId="5A651E53" w:rsidR="00D6662A" w:rsidRPr="0061467C" w:rsidRDefault="00A257F9" w:rsidP="00D6662A">
    <w:pPr>
      <w:pStyle w:val="NoSpacing"/>
      <w:jc w:val="right"/>
      <w:rPr>
        <w:b/>
        <w:sz w:val="72"/>
        <w:szCs w:val="72"/>
      </w:rPr>
    </w:pPr>
    <w:r>
      <w:rPr>
        <w:b/>
        <w:sz w:val="72"/>
        <w:szCs w:val="72"/>
      </w:rPr>
      <w:t>X</w:t>
    </w:r>
    <w:r w:rsidR="00990A7E">
      <w:rPr>
        <w:b/>
        <w:sz w:val="72"/>
        <w:szCs w:val="72"/>
      </w:rPr>
      <w:t>VII</w:t>
    </w:r>
    <w:r w:rsidR="00D11453">
      <w:rPr>
        <w:b/>
        <w:sz w:val="72"/>
        <w:szCs w:val="72"/>
      </w:rPr>
      <w:t>I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912B8"/>
    <w:multiLevelType w:val="multilevel"/>
    <w:tmpl w:val="C2302772"/>
    <w:styleLink w:val="Style1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/>
      </w:rPr>
    </w:lvl>
    <w:lvl w:ilvl="2">
      <w:start w:val="1"/>
      <w:numFmt w:val="lowerRoman"/>
      <w:lvlText w:val="%3."/>
      <w:lvlJc w:val="right"/>
      <w:pPr>
        <w:ind w:left="162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B752CE"/>
    <w:multiLevelType w:val="hybridMultilevel"/>
    <w:tmpl w:val="FC807680"/>
    <w:lvl w:ilvl="0" w:tplc="6338E71E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CC4E48"/>
    <w:multiLevelType w:val="hybridMultilevel"/>
    <w:tmpl w:val="61125B1E"/>
    <w:lvl w:ilvl="0" w:tplc="6338E71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D7A0B44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769B7"/>
    <w:multiLevelType w:val="multilevel"/>
    <w:tmpl w:val="0409001D"/>
    <w:styleLink w:val="Styl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36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BD55019"/>
    <w:multiLevelType w:val="multilevel"/>
    <w:tmpl w:val="3940BF4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C9B7C04"/>
    <w:multiLevelType w:val="multilevel"/>
    <w:tmpl w:val="3940BF4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D537964"/>
    <w:multiLevelType w:val="hybridMultilevel"/>
    <w:tmpl w:val="E4122DA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72132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4214D63"/>
    <w:multiLevelType w:val="multilevel"/>
    <w:tmpl w:val="C1A68326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56D733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2F10EA3"/>
    <w:multiLevelType w:val="multilevel"/>
    <w:tmpl w:val="0409001D"/>
    <w:styleLink w:val="Style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252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F987288"/>
    <w:multiLevelType w:val="multilevel"/>
    <w:tmpl w:val="C1A68326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9"/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6"/>
  </w:num>
  <w:num w:numId="10">
    <w:abstractNumId w:val="5"/>
  </w:num>
  <w:num w:numId="11">
    <w:abstractNumId w:val="11"/>
  </w:num>
  <w:num w:numId="12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C34"/>
    <w:rsid w:val="0001147A"/>
    <w:rsid w:val="00013C46"/>
    <w:rsid w:val="000201AB"/>
    <w:rsid w:val="00020CA5"/>
    <w:rsid w:val="00030C1F"/>
    <w:rsid w:val="00033415"/>
    <w:rsid w:val="000346BE"/>
    <w:rsid w:val="00034B1F"/>
    <w:rsid w:val="00035D43"/>
    <w:rsid w:val="0004220A"/>
    <w:rsid w:val="00044178"/>
    <w:rsid w:val="000473A1"/>
    <w:rsid w:val="00052175"/>
    <w:rsid w:val="00054EDB"/>
    <w:rsid w:val="00056999"/>
    <w:rsid w:val="00060D58"/>
    <w:rsid w:val="00062B2E"/>
    <w:rsid w:val="00063532"/>
    <w:rsid w:val="00065B56"/>
    <w:rsid w:val="000717B7"/>
    <w:rsid w:val="00074008"/>
    <w:rsid w:val="0008104B"/>
    <w:rsid w:val="00082DF6"/>
    <w:rsid w:val="000922A5"/>
    <w:rsid w:val="0009431B"/>
    <w:rsid w:val="000944C7"/>
    <w:rsid w:val="00097B79"/>
    <w:rsid w:val="000A34A2"/>
    <w:rsid w:val="000A4650"/>
    <w:rsid w:val="000A71D2"/>
    <w:rsid w:val="000A7B28"/>
    <w:rsid w:val="000B3D9F"/>
    <w:rsid w:val="000B54A0"/>
    <w:rsid w:val="000B7D53"/>
    <w:rsid w:val="000C530D"/>
    <w:rsid w:val="000D34D1"/>
    <w:rsid w:val="000D4670"/>
    <w:rsid w:val="000D7CCD"/>
    <w:rsid w:val="000E075A"/>
    <w:rsid w:val="000E3BD2"/>
    <w:rsid w:val="000E465C"/>
    <w:rsid w:val="000E766F"/>
    <w:rsid w:val="000F0FFB"/>
    <w:rsid w:val="000F30BB"/>
    <w:rsid w:val="000F60F4"/>
    <w:rsid w:val="00106247"/>
    <w:rsid w:val="00106410"/>
    <w:rsid w:val="0011307C"/>
    <w:rsid w:val="0011379C"/>
    <w:rsid w:val="0012163A"/>
    <w:rsid w:val="00121D81"/>
    <w:rsid w:val="001259ED"/>
    <w:rsid w:val="00126E1A"/>
    <w:rsid w:val="00132F16"/>
    <w:rsid w:val="0014046F"/>
    <w:rsid w:val="00140E8B"/>
    <w:rsid w:val="00141699"/>
    <w:rsid w:val="00155F36"/>
    <w:rsid w:val="001565BE"/>
    <w:rsid w:val="00160164"/>
    <w:rsid w:val="001628F4"/>
    <w:rsid w:val="0016336B"/>
    <w:rsid w:val="00163941"/>
    <w:rsid w:val="00165D5C"/>
    <w:rsid w:val="001707DD"/>
    <w:rsid w:val="001714B2"/>
    <w:rsid w:val="001830BD"/>
    <w:rsid w:val="001846D6"/>
    <w:rsid w:val="00190A18"/>
    <w:rsid w:val="00196ED3"/>
    <w:rsid w:val="001A2FF2"/>
    <w:rsid w:val="001A7841"/>
    <w:rsid w:val="001A7BE4"/>
    <w:rsid w:val="001A7FF1"/>
    <w:rsid w:val="001B0EE4"/>
    <w:rsid w:val="001B2B8A"/>
    <w:rsid w:val="001B3F23"/>
    <w:rsid w:val="001C4F1D"/>
    <w:rsid w:val="001C7EF8"/>
    <w:rsid w:val="001D13D2"/>
    <w:rsid w:val="001D13DA"/>
    <w:rsid w:val="001D35B3"/>
    <w:rsid w:val="001D5B5E"/>
    <w:rsid w:val="001E314C"/>
    <w:rsid w:val="001E4FD7"/>
    <w:rsid w:val="001E7FEA"/>
    <w:rsid w:val="001F15BF"/>
    <w:rsid w:val="001F5B0D"/>
    <w:rsid w:val="001F72EB"/>
    <w:rsid w:val="001F7C25"/>
    <w:rsid w:val="00202692"/>
    <w:rsid w:val="00203B52"/>
    <w:rsid w:val="0020705A"/>
    <w:rsid w:val="00214B0D"/>
    <w:rsid w:val="00226620"/>
    <w:rsid w:val="00231155"/>
    <w:rsid w:val="002357EF"/>
    <w:rsid w:val="002416F2"/>
    <w:rsid w:val="0024299B"/>
    <w:rsid w:val="00247142"/>
    <w:rsid w:val="0025260C"/>
    <w:rsid w:val="00253E92"/>
    <w:rsid w:val="00257EB8"/>
    <w:rsid w:val="0026024A"/>
    <w:rsid w:val="00265977"/>
    <w:rsid w:val="00265F39"/>
    <w:rsid w:val="0026708E"/>
    <w:rsid w:val="0027239C"/>
    <w:rsid w:val="00275D00"/>
    <w:rsid w:val="00276D7F"/>
    <w:rsid w:val="00281E92"/>
    <w:rsid w:val="00290D16"/>
    <w:rsid w:val="002916FC"/>
    <w:rsid w:val="002918F2"/>
    <w:rsid w:val="00293D69"/>
    <w:rsid w:val="00295407"/>
    <w:rsid w:val="002A0C46"/>
    <w:rsid w:val="002A2454"/>
    <w:rsid w:val="002A6BA1"/>
    <w:rsid w:val="002B38BB"/>
    <w:rsid w:val="002B4954"/>
    <w:rsid w:val="002C3F02"/>
    <w:rsid w:val="002C66D4"/>
    <w:rsid w:val="002C6FCD"/>
    <w:rsid w:val="002C7615"/>
    <w:rsid w:val="002D1E34"/>
    <w:rsid w:val="002D3682"/>
    <w:rsid w:val="002D5EB8"/>
    <w:rsid w:val="002E07FF"/>
    <w:rsid w:val="002E202B"/>
    <w:rsid w:val="002E4A59"/>
    <w:rsid w:val="002E69F4"/>
    <w:rsid w:val="002E7DCE"/>
    <w:rsid w:val="002F0C06"/>
    <w:rsid w:val="002F1BB7"/>
    <w:rsid w:val="002F5B65"/>
    <w:rsid w:val="002F5C02"/>
    <w:rsid w:val="002F71C1"/>
    <w:rsid w:val="00300355"/>
    <w:rsid w:val="00302CE2"/>
    <w:rsid w:val="00303C60"/>
    <w:rsid w:val="003046B5"/>
    <w:rsid w:val="00306840"/>
    <w:rsid w:val="003104D3"/>
    <w:rsid w:val="00311B32"/>
    <w:rsid w:val="00312BB8"/>
    <w:rsid w:val="00313666"/>
    <w:rsid w:val="00317CC6"/>
    <w:rsid w:val="00323001"/>
    <w:rsid w:val="0032428A"/>
    <w:rsid w:val="003358D6"/>
    <w:rsid w:val="0033756F"/>
    <w:rsid w:val="003531A4"/>
    <w:rsid w:val="00353323"/>
    <w:rsid w:val="00355DFD"/>
    <w:rsid w:val="00367926"/>
    <w:rsid w:val="0037042E"/>
    <w:rsid w:val="003706C7"/>
    <w:rsid w:val="00377DF3"/>
    <w:rsid w:val="00383617"/>
    <w:rsid w:val="00383AED"/>
    <w:rsid w:val="0039179B"/>
    <w:rsid w:val="003930DA"/>
    <w:rsid w:val="003933FE"/>
    <w:rsid w:val="003934DE"/>
    <w:rsid w:val="0039549C"/>
    <w:rsid w:val="003A3228"/>
    <w:rsid w:val="003B0FE3"/>
    <w:rsid w:val="003B4719"/>
    <w:rsid w:val="003B4C77"/>
    <w:rsid w:val="003C255B"/>
    <w:rsid w:val="003C719E"/>
    <w:rsid w:val="003D0A8E"/>
    <w:rsid w:val="003D14E0"/>
    <w:rsid w:val="003D2ACD"/>
    <w:rsid w:val="003D3B9D"/>
    <w:rsid w:val="003E37C8"/>
    <w:rsid w:val="003E48A5"/>
    <w:rsid w:val="003E5543"/>
    <w:rsid w:val="003F2C7F"/>
    <w:rsid w:val="003F5918"/>
    <w:rsid w:val="00404A7C"/>
    <w:rsid w:val="00404FF6"/>
    <w:rsid w:val="0040501F"/>
    <w:rsid w:val="0041176B"/>
    <w:rsid w:val="00412DBC"/>
    <w:rsid w:val="00414148"/>
    <w:rsid w:val="00431136"/>
    <w:rsid w:val="00431CE5"/>
    <w:rsid w:val="00436F90"/>
    <w:rsid w:val="00440C68"/>
    <w:rsid w:val="00442955"/>
    <w:rsid w:val="00442A54"/>
    <w:rsid w:val="00442C5F"/>
    <w:rsid w:val="00442DB4"/>
    <w:rsid w:val="00443B40"/>
    <w:rsid w:val="00450F15"/>
    <w:rsid w:val="004544B9"/>
    <w:rsid w:val="004668CE"/>
    <w:rsid w:val="00474809"/>
    <w:rsid w:val="00477CDC"/>
    <w:rsid w:val="00477CE8"/>
    <w:rsid w:val="0048454D"/>
    <w:rsid w:val="004904CF"/>
    <w:rsid w:val="00496839"/>
    <w:rsid w:val="00496B90"/>
    <w:rsid w:val="004A2256"/>
    <w:rsid w:val="004A4016"/>
    <w:rsid w:val="004A71F7"/>
    <w:rsid w:val="004A7837"/>
    <w:rsid w:val="004B3F46"/>
    <w:rsid w:val="004B7334"/>
    <w:rsid w:val="004B7E7E"/>
    <w:rsid w:val="004C1121"/>
    <w:rsid w:val="004C5D09"/>
    <w:rsid w:val="004D07F7"/>
    <w:rsid w:val="004D308C"/>
    <w:rsid w:val="004D69FA"/>
    <w:rsid w:val="004D7DE2"/>
    <w:rsid w:val="004E7535"/>
    <w:rsid w:val="004F0DE2"/>
    <w:rsid w:val="005079D8"/>
    <w:rsid w:val="005114CB"/>
    <w:rsid w:val="00512629"/>
    <w:rsid w:val="00514C3A"/>
    <w:rsid w:val="00516DA7"/>
    <w:rsid w:val="00520489"/>
    <w:rsid w:val="0052114D"/>
    <w:rsid w:val="00521917"/>
    <w:rsid w:val="005259DD"/>
    <w:rsid w:val="00526C00"/>
    <w:rsid w:val="00526C9C"/>
    <w:rsid w:val="00531D71"/>
    <w:rsid w:val="0053275A"/>
    <w:rsid w:val="00537182"/>
    <w:rsid w:val="00541657"/>
    <w:rsid w:val="00550B5B"/>
    <w:rsid w:val="00550F30"/>
    <w:rsid w:val="005527C3"/>
    <w:rsid w:val="005618F7"/>
    <w:rsid w:val="00567BD0"/>
    <w:rsid w:val="00576951"/>
    <w:rsid w:val="00582123"/>
    <w:rsid w:val="005907AF"/>
    <w:rsid w:val="00591811"/>
    <w:rsid w:val="0059407D"/>
    <w:rsid w:val="005A47C2"/>
    <w:rsid w:val="005A48E2"/>
    <w:rsid w:val="005A5300"/>
    <w:rsid w:val="005B3350"/>
    <w:rsid w:val="005C1BA3"/>
    <w:rsid w:val="005C1EE5"/>
    <w:rsid w:val="005C24D4"/>
    <w:rsid w:val="005C5091"/>
    <w:rsid w:val="005C7E5E"/>
    <w:rsid w:val="005D63CC"/>
    <w:rsid w:val="005D738C"/>
    <w:rsid w:val="005E1FA1"/>
    <w:rsid w:val="005F4850"/>
    <w:rsid w:val="005F49D1"/>
    <w:rsid w:val="005F59F0"/>
    <w:rsid w:val="005F5C3F"/>
    <w:rsid w:val="00601647"/>
    <w:rsid w:val="0060492E"/>
    <w:rsid w:val="00611EE2"/>
    <w:rsid w:val="0061467C"/>
    <w:rsid w:val="00616736"/>
    <w:rsid w:val="006211FC"/>
    <w:rsid w:val="00623ECC"/>
    <w:rsid w:val="006310B2"/>
    <w:rsid w:val="00640352"/>
    <w:rsid w:val="00641104"/>
    <w:rsid w:val="00646D21"/>
    <w:rsid w:val="0065189E"/>
    <w:rsid w:val="00655C4C"/>
    <w:rsid w:val="0065722A"/>
    <w:rsid w:val="00657D28"/>
    <w:rsid w:val="00662697"/>
    <w:rsid w:val="00664DC9"/>
    <w:rsid w:val="00666A7A"/>
    <w:rsid w:val="00667671"/>
    <w:rsid w:val="006721A7"/>
    <w:rsid w:val="006901CA"/>
    <w:rsid w:val="00691DA3"/>
    <w:rsid w:val="006957F5"/>
    <w:rsid w:val="006965AF"/>
    <w:rsid w:val="006970D6"/>
    <w:rsid w:val="006A416C"/>
    <w:rsid w:val="006B0199"/>
    <w:rsid w:val="006C3A8B"/>
    <w:rsid w:val="006D2476"/>
    <w:rsid w:val="006D2A82"/>
    <w:rsid w:val="006D6EE5"/>
    <w:rsid w:val="006E2249"/>
    <w:rsid w:val="006E290F"/>
    <w:rsid w:val="006E3001"/>
    <w:rsid w:val="006E3F27"/>
    <w:rsid w:val="006E5652"/>
    <w:rsid w:val="006E7898"/>
    <w:rsid w:val="006F12B0"/>
    <w:rsid w:val="006F18B4"/>
    <w:rsid w:val="006F627B"/>
    <w:rsid w:val="006F6B67"/>
    <w:rsid w:val="00715580"/>
    <w:rsid w:val="00715DA2"/>
    <w:rsid w:val="00722D17"/>
    <w:rsid w:val="0072403B"/>
    <w:rsid w:val="0072425D"/>
    <w:rsid w:val="00724CE6"/>
    <w:rsid w:val="007307C9"/>
    <w:rsid w:val="0073093A"/>
    <w:rsid w:val="00732836"/>
    <w:rsid w:val="00733B2D"/>
    <w:rsid w:val="0073666B"/>
    <w:rsid w:val="00740CC8"/>
    <w:rsid w:val="00746827"/>
    <w:rsid w:val="0074756D"/>
    <w:rsid w:val="00751CBF"/>
    <w:rsid w:val="00753D5B"/>
    <w:rsid w:val="007551B8"/>
    <w:rsid w:val="007556A7"/>
    <w:rsid w:val="00757053"/>
    <w:rsid w:val="00760A3C"/>
    <w:rsid w:val="00760B94"/>
    <w:rsid w:val="00760F7C"/>
    <w:rsid w:val="00761451"/>
    <w:rsid w:val="00761AA4"/>
    <w:rsid w:val="00761DC9"/>
    <w:rsid w:val="00764827"/>
    <w:rsid w:val="00764985"/>
    <w:rsid w:val="00764A83"/>
    <w:rsid w:val="00766E42"/>
    <w:rsid w:val="00770FEA"/>
    <w:rsid w:val="00771FE8"/>
    <w:rsid w:val="00777D5A"/>
    <w:rsid w:val="007809A3"/>
    <w:rsid w:val="0078314C"/>
    <w:rsid w:val="00783E5C"/>
    <w:rsid w:val="00784579"/>
    <w:rsid w:val="007905A7"/>
    <w:rsid w:val="00791500"/>
    <w:rsid w:val="00792975"/>
    <w:rsid w:val="00795B94"/>
    <w:rsid w:val="007A09E5"/>
    <w:rsid w:val="007A0FF9"/>
    <w:rsid w:val="007A16C9"/>
    <w:rsid w:val="007A3B72"/>
    <w:rsid w:val="007A76D3"/>
    <w:rsid w:val="007B1159"/>
    <w:rsid w:val="007B476C"/>
    <w:rsid w:val="007B4D0F"/>
    <w:rsid w:val="007C0A04"/>
    <w:rsid w:val="007C7F09"/>
    <w:rsid w:val="007D4A59"/>
    <w:rsid w:val="007D798C"/>
    <w:rsid w:val="007E0DD2"/>
    <w:rsid w:val="007E4507"/>
    <w:rsid w:val="007E48A2"/>
    <w:rsid w:val="007F1865"/>
    <w:rsid w:val="007F746F"/>
    <w:rsid w:val="00803681"/>
    <w:rsid w:val="00812BEE"/>
    <w:rsid w:val="008158FC"/>
    <w:rsid w:val="00817371"/>
    <w:rsid w:val="00821B1C"/>
    <w:rsid w:val="00824840"/>
    <w:rsid w:val="00831664"/>
    <w:rsid w:val="00832D3A"/>
    <w:rsid w:val="008410AC"/>
    <w:rsid w:val="0084287F"/>
    <w:rsid w:val="00852E1D"/>
    <w:rsid w:val="00854F02"/>
    <w:rsid w:val="008578C5"/>
    <w:rsid w:val="00862F6C"/>
    <w:rsid w:val="00873F7F"/>
    <w:rsid w:val="0087476A"/>
    <w:rsid w:val="00874989"/>
    <w:rsid w:val="00887C97"/>
    <w:rsid w:val="00897A0D"/>
    <w:rsid w:val="008A663B"/>
    <w:rsid w:val="008A69F8"/>
    <w:rsid w:val="008B710D"/>
    <w:rsid w:val="008C214C"/>
    <w:rsid w:val="008C2D9B"/>
    <w:rsid w:val="008C31EB"/>
    <w:rsid w:val="008C3BA5"/>
    <w:rsid w:val="008C4BFC"/>
    <w:rsid w:val="008C73A8"/>
    <w:rsid w:val="008D0743"/>
    <w:rsid w:val="008D64BC"/>
    <w:rsid w:val="008E4426"/>
    <w:rsid w:val="008F1370"/>
    <w:rsid w:val="008F7475"/>
    <w:rsid w:val="0090305E"/>
    <w:rsid w:val="00904D20"/>
    <w:rsid w:val="00904F85"/>
    <w:rsid w:val="00906DF9"/>
    <w:rsid w:val="00914426"/>
    <w:rsid w:val="00915FD5"/>
    <w:rsid w:val="0091651C"/>
    <w:rsid w:val="009258CE"/>
    <w:rsid w:val="00937CDB"/>
    <w:rsid w:val="009446F7"/>
    <w:rsid w:val="00946E75"/>
    <w:rsid w:val="009504C8"/>
    <w:rsid w:val="00951B7E"/>
    <w:rsid w:val="00955799"/>
    <w:rsid w:val="00956574"/>
    <w:rsid w:val="00956A39"/>
    <w:rsid w:val="009576E1"/>
    <w:rsid w:val="00962B19"/>
    <w:rsid w:val="009633BE"/>
    <w:rsid w:val="0096463B"/>
    <w:rsid w:val="00982433"/>
    <w:rsid w:val="00990A7E"/>
    <w:rsid w:val="0099624C"/>
    <w:rsid w:val="00997654"/>
    <w:rsid w:val="00997CDE"/>
    <w:rsid w:val="009A1E72"/>
    <w:rsid w:val="009A1F9F"/>
    <w:rsid w:val="009B377E"/>
    <w:rsid w:val="009C5883"/>
    <w:rsid w:val="009C5F49"/>
    <w:rsid w:val="009D2359"/>
    <w:rsid w:val="009D5094"/>
    <w:rsid w:val="009D6740"/>
    <w:rsid w:val="009D71AE"/>
    <w:rsid w:val="009E27B4"/>
    <w:rsid w:val="009E76E4"/>
    <w:rsid w:val="009F1F42"/>
    <w:rsid w:val="00A01C3A"/>
    <w:rsid w:val="00A044CF"/>
    <w:rsid w:val="00A06F2F"/>
    <w:rsid w:val="00A107B8"/>
    <w:rsid w:val="00A15BA3"/>
    <w:rsid w:val="00A24740"/>
    <w:rsid w:val="00A257F9"/>
    <w:rsid w:val="00A366EB"/>
    <w:rsid w:val="00A43250"/>
    <w:rsid w:val="00A43E32"/>
    <w:rsid w:val="00A51E90"/>
    <w:rsid w:val="00A54249"/>
    <w:rsid w:val="00A542EC"/>
    <w:rsid w:val="00A543F1"/>
    <w:rsid w:val="00A5460F"/>
    <w:rsid w:val="00A555B9"/>
    <w:rsid w:val="00A60373"/>
    <w:rsid w:val="00A66D28"/>
    <w:rsid w:val="00A6787D"/>
    <w:rsid w:val="00A749E6"/>
    <w:rsid w:val="00A7579F"/>
    <w:rsid w:val="00A778DB"/>
    <w:rsid w:val="00AA1A98"/>
    <w:rsid w:val="00AA26CC"/>
    <w:rsid w:val="00AB05CB"/>
    <w:rsid w:val="00AB76D1"/>
    <w:rsid w:val="00AB7B52"/>
    <w:rsid w:val="00AC1DBC"/>
    <w:rsid w:val="00AD2689"/>
    <w:rsid w:val="00AD2C30"/>
    <w:rsid w:val="00AD3FEE"/>
    <w:rsid w:val="00AE41C6"/>
    <w:rsid w:val="00AE4F31"/>
    <w:rsid w:val="00AF0EB7"/>
    <w:rsid w:val="00AF175F"/>
    <w:rsid w:val="00AF3D0D"/>
    <w:rsid w:val="00B002D0"/>
    <w:rsid w:val="00B024B4"/>
    <w:rsid w:val="00B06F8F"/>
    <w:rsid w:val="00B0758B"/>
    <w:rsid w:val="00B12F85"/>
    <w:rsid w:val="00B131FC"/>
    <w:rsid w:val="00B13249"/>
    <w:rsid w:val="00B154AF"/>
    <w:rsid w:val="00B163F3"/>
    <w:rsid w:val="00B21210"/>
    <w:rsid w:val="00B21D7A"/>
    <w:rsid w:val="00B22ACA"/>
    <w:rsid w:val="00B33987"/>
    <w:rsid w:val="00B35B02"/>
    <w:rsid w:val="00B361D1"/>
    <w:rsid w:val="00B4222E"/>
    <w:rsid w:val="00B43E52"/>
    <w:rsid w:val="00B45F52"/>
    <w:rsid w:val="00B5415D"/>
    <w:rsid w:val="00B54538"/>
    <w:rsid w:val="00B571B4"/>
    <w:rsid w:val="00B676F0"/>
    <w:rsid w:val="00B72344"/>
    <w:rsid w:val="00B73879"/>
    <w:rsid w:val="00B73C97"/>
    <w:rsid w:val="00B767C1"/>
    <w:rsid w:val="00B8170E"/>
    <w:rsid w:val="00B828AE"/>
    <w:rsid w:val="00B94A4B"/>
    <w:rsid w:val="00BA0382"/>
    <w:rsid w:val="00BA2617"/>
    <w:rsid w:val="00BB046B"/>
    <w:rsid w:val="00BB186D"/>
    <w:rsid w:val="00BB26B2"/>
    <w:rsid w:val="00BB2C7F"/>
    <w:rsid w:val="00BB3ED2"/>
    <w:rsid w:val="00BB4D73"/>
    <w:rsid w:val="00BB78BE"/>
    <w:rsid w:val="00BD02D5"/>
    <w:rsid w:val="00BD08BB"/>
    <w:rsid w:val="00BD26C2"/>
    <w:rsid w:val="00BD3323"/>
    <w:rsid w:val="00BD3EA5"/>
    <w:rsid w:val="00BD51A4"/>
    <w:rsid w:val="00BD6794"/>
    <w:rsid w:val="00BD6871"/>
    <w:rsid w:val="00BE2382"/>
    <w:rsid w:val="00BE35C5"/>
    <w:rsid w:val="00BE4DE5"/>
    <w:rsid w:val="00BF1F9C"/>
    <w:rsid w:val="00BF27F4"/>
    <w:rsid w:val="00BF4906"/>
    <w:rsid w:val="00C02265"/>
    <w:rsid w:val="00C031A5"/>
    <w:rsid w:val="00C045A4"/>
    <w:rsid w:val="00C06762"/>
    <w:rsid w:val="00C21241"/>
    <w:rsid w:val="00C2219F"/>
    <w:rsid w:val="00C222BE"/>
    <w:rsid w:val="00C30599"/>
    <w:rsid w:val="00C4070F"/>
    <w:rsid w:val="00C40F2A"/>
    <w:rsid w:val="00C47365"/>
    <w:rsid w:val="00C50190"/>
    <w:rsid w:val="00C5756C"/>
    <w:rsid w:val="00C6095E"/>
    <w:rsid w:val="00C6151E"/>
    <w:rsid w:val="00C62173"/>
    <w:rsid w:val="00C62AEB"/>
    <w:rsid w:val="00C7006C"/>
    <w:rsid w:val="00C71866"/>
    <w:rsid w:val="00C7257C"/>
    <w:rsid w:val="00C802C4"/>
    <w:rsid w:val="00C85219"/>
    <w:rsid w:val="00C8664C"/>
    <w:rsid w:val="00C90A34"/>
    <w:rsid w:val="00C927AF"/>
    <w:rsid w:val="00C95F44"/>
    <w:rsid w:val="00C96C18"/>
    <w:rsid w:val="00CA13A9"/>
    <w:rsid w:val="00CA6157"/>
    <w:rsid w:val="00CA76CB"/>
    <w:rsid w:val="00CB3435"/>
    <w:rsid w:val="00CB54AC"/>
    <w:rsid w:val="00CB61C6"/>
    <w:rsid w:val="00CB6797"/>
    <w:rsid w:val="00CC329B"/>
    <w:rsid w:val="00CC36D4"/>
    <w:rsid w:val="00CC42D6"/>
    <w:rsid w:val="00CC69EC"/>
    <w:rsid w:val="00CD5A59"/>
    <w:rsid w:val="00CF1206"/>
    <w:rsid w:val="00CF22C5"/>
    <w:rsid w:val="00CF5318"/>
    <w:rsid w:val="00CF63D5"/>
    <w:rsid w:val="00CF705D"/>
    <w:rsid w:val="00CF7B1C"/>
    <w:rsid w:val="00CF7E0F"/>
    <w:rsid w:val="00D00976"/>
    <w:rsid w:val="00D02BCB"/>
    <w:rsid w:val="00D04E8F"/>
    <w:rsid w:val="00D112BC"/>
    <w:rsid w:val="00D11453"/>
    <w:rsid w:val="00D118A7"/>
    <w:rsid w:val="00D138CB"/>
    <w:rsid w:val="00D14934"/>
    <w:rsid w:val="00D14C9C"/>
    <w:rsid w:val="00D15A18"/>
    <w:rsid w:val="00D256A0"/>
    <w:rsid w:val="00D27652"/>
    <w:rsid w:val="00D3770D"/>
    <w:rsid w:val="00D45A65"/>
    <w:rsid w:val="00D527F9"/>
    <w:rsid w:val="00D6615B"/>
    <w:rsid w:val="00D66335"/>
    <w:rsid w:val="00D6662A"/>
    <w:rsid w:val="00D676B8"/>
    <w:rsid w:val="00D73214"/>
    <w:rsid w:val="00D73C2F"/>
    <w:rsid w:val="00D743C3"/>
    <w:rsid w:val="00D825D7"/>
    <w:rsid w:val="00D8382C"/>
    <w:rsid w:val="00D91A6B"/>
    <w:rsid w:val="00D931E5"/>
    <w:rsid w:val="00D97D0F"/>
    <w:rsid w:val="00DA063F"/>
    <w:rsid w:val="00DA4D9F"/>
    <w:rsid w:val="00DA62EC"/>
    <w:rsid w:val="00DA7723"/>
    <w:rsid w:val="00DB00D7"/>
    <w:rsid w:val="00DB1EF4"/>
    <w:rsid w:val="00DB2C5A"/>
    <w:rsid w:val="00DB382C"/>
    <w:rsid w:val="00DB48B2"/>
    <w:rsid w:val="00DB4A06"/>
    <w:rsid w:val="00DB5217"/>
    <w:rsid w:val="00DC1B8B"/>
    <w:rsid w:val="00DC6A9E"/>
    <w:rsid w:val="00DD2662"/>
    <w:rsid w:val="00DD506F"/>
    <w:rsid w:val="00DD53A1"/>
    <w:rsid w:val="00DD75BF"/>
    <w:rsid w:val="00DE2374"/>
    <w:rsid w:val="00DE24A4"/>
    <w:rsid w:val="00DF1498"/>
    <w:rsid w:val="00DF1C4E"/>
    <w:rsid w:val="00DF71B9"/>
    <w:rsid w:val="00DF7BF7"/>
    <w:rsid w:val="00DF7FE2"/>
    <w:rsid w:val="00E14644"/>
    <w:rsid w:val="00E15DAA"/>
    <w:rsid w:val="00E165CA"/>
    <w:rsid w:val="00E169EC"/>
    <w:rsid w:val="00E22117"/>
    <w:rsid w:val="00E227AF"/>
    <w:rsid w:val="00E25A7D"/>
    <w:rsid w:val="00E26F4B"/>
    <w:rsid w:val="00E31535"/>
    <w:rsid w:val="00E3200C"/>
    <w:rsid w:val="00E320F3"/>
    <w:rsid w:val="00E33C5B"/>
    <w:rsid w:val="00E43ACC"/>
    <w:rsid w:val="00E476F6"/>
    <w:rsid w:val="00E51D98"/>
    <w:rsid w:val="00E55678"/>
    <w:rsid w:val="00E5665C"/>
    <w:rsid w:val="00E56FAD"/>
    <w:rsid w:val="00E6113A"/>
    <w:rsid w:val="00E621E0"/>
    <w:rsid w:val="00E64245"/>
    <w:rsid w:val="00E664B9"/>
    <w:rsid w:val="00E82D44"/>
    <w:rsid w:val="00E84516"/>
    <w:rsid w:val="00E85DA5"/>
    <w:rsid w:val="00E90DDD"/>
    <w:rsid w:val="00E952BB"/>
    <w:rsid w:val="00E97CF9"/>
    <w:rsid w:val="00EA540C"/>
    <w:rsid w:val="00EA75A9"/>
    <w:rsid w:val="00EB0137"/>
    <w:rsid w:val="00EB2F7F"/>
    <w:rsid w:val="00EB7034"/>
    <w:rsid w:val="00EB7F54"/>
    <w:rsid w:val="00EC1727"/>
    <w:rsid w:val="00EC4504"/>
    <w:rsid w:val="00ED3602"/>
    <w:rsid w:val="00ED4DB7"/>
    <w:rsid w:val="00ED68FB"/>
    <w:rsid w:val="00EE10A3"/>
    <w:rsid w:val="00EE110C"/>
    <w:rsid w:val="00EE1DD9"/>
    <w:rsid w:val="00EE1EEA"/>
    <w:rsid w:val="00EE2E64"/>
    <w:rsid w:val="00EE356A"/>
    <w:rsid w:val="00EE79FB"/>
    <w:rsid w:val="00EF1F61"/>
    <w:rsid w:val="00EF2517"/>
    <w:rsid w:val="00EF5077"/>
    <w:rsid w:val="00EF5362"/>
    <w:rsid w:val="00F00938"/>
    <w:rsid w:val="00F061F7"/>
    <w:rsid w:val="00F06772"/>
    <w:rsid w:val="00F10464"/>
    <w:rsid w:val="00F12E92"/>
    <w:rsid w:val="00F1468C"/>
    <w:rsid w:val="00F162B3"/>
    <w:rsid w:val="00F17EB1"/>
    <w:rsid w:val="00F223CC"/>
    <w:rsid w:val="00F2270D"/>
    <w:rsid w:val="00F26655"/>
    <w:rsid w:val="00F26C34"/>
    <w:rsid w:val="00F32C66"/>
    <w:rsid w:val="00F32E21"/>
    <w:rsid w:val="00F34C3D"/>
    <w:rsid w:val="00F368B5"/>
    <w:rsid w:val="00F427E1"/>
    <w:rsid w:val="00F4374E"/>
    <w:rsid w:val="00F43AD2"/>
    <w:rsid w:val="00F475F5"/>
    <w:rsid w:val="00F47FEA"/>
    <w:rsid w:val="00F5669C"/>
    <w:rsid w:val="00F56AF8"/>
    <w:rsid w:val="00F604E5"/>
    <w:rsid w:val="00F60D5A"/>
    <w:rsid w:val="00F6103A"/>
    <w:rsid w:val="00F71590"/>
    <w:rsid w:val="00F720D7"/>
    <w:rsid w:val="00F7763B"/>
    <w:rsid w:val="00F77732"/>
    <w:rsid w:val="00F83363"/>
    <w:rsid w:val="00F84FC5"/>
    <w:rsid w:val="00F9069B"/>
    <w:rsid w:val="00F927ED"/>
    <w:rsid w:val="00F94148"/>
    <w:rsid w:val="00F94E11"/>
    <w:rsid w:val="00FA45A7"/>
    <w:rsid w:val="00FB1ED3"/>
    <w:rsid w:val="00FB24D2"/>
    <w:rsid w:val="00FB2568"/>
    <w:rsid w:val="00FB3DD6"/>
    <w:rsid w:val="00FB4195"/>
    <w:rsid w:val="00FB5D77"/>
    <w:rsid w:val="00FC1FFE"/>
    <w:rsid w:val="00FC2B61"/>
    <w:rsid w:val="00FC2B64"/>
    <w:rsid w:val="00FC3740"/>
    <w:rsid w:val="00FC3F33"/>
    <w:rsid w:val="00FC5186"/>
    <w:rsid w:val="00FC6B56"/>
    <w:rsid w:val="00FC6C01"/>
    <w:rsid w:val="00FD3BF4"/>
    <w:rsid w:val="00FE4FF1"/>
    <w:rsid w:val="00FE5F00"/>
    <w:rsid w:val="00FE69B2"/>
    <w:rsid w:val="00FF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BD1012F"/>
  <w15:docId w15:val="{9437B8CB-E7F1-4610-876F-EE8397767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7F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7C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CE8"/>
  </w:style>
  <w:style w:type="paragraph" w:styleId="Footer">
    <w:name w:val="footer"/>
    <w:basedOn w:val="Normal"/>
    <w:link w:val="FooterChar"/>
    <w:uiPriority w:val="99"/>
    <w:unhideWhenUsed/>
    <w:rsid w:val="00477C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CE8"/>
  </w:style>
  <w:style w:type="paragraph" w:styleId="BalloonText">
    <w:name w:val="Balloon Text"/>
    <w:basedOn w:val="Normal"/>
    <w:link w:val="BalloonTextChar"/>
    <w:uiPriority w:val="99"/>
    <w:semiHidden/>
    <w:unhideWhenUsed/>
    <w:rsid w:val="00651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89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927AF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A2FF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2FF2"/>
    <w:rPr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A2FF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A2F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FootnoteReference">
    <w:name w:val="footnote reference"/>
    <w:basedOn w:val="DefaultParagraphFont"/>
    <w:uiPriority w:val="99"/>
    <w:semiHidden/>
    <w:unhideWhenUsed/>
    <w:rsid w:val="001A2FF2"/>
    <w:rPr>
      <w:vertAlign w:val="superscript"/>
    </w:rPr>
  </w:style>
  <w:style w:type="numbering" w:customStyle="1" w:styleId="Style1">
    <w:name w:val="Style1"/>
    <w:uiPriority w:val="99"/>
    <w:rsid w:val="008C3BA5"/>
    <w:pPr>
      <w:numPr>
        <w:numId w:val="1"/>
      </w:numPr>
    </w:pPr>
  </w:style>
  <w:style w:type="numbering" w:customStyle="1" w:styleId="Style2">
    <w:name w:val="Style2"/>
    <w:uiPriority w:val="99"/>
    <w:rsid w:val="008C3BA5"/>
    <w:pPr>
      <w:numPr>
        <w:numId w:val="2"/>
      </w:numPr>
    </w:pPr>
  </w:style>
  <w:style w:type="numbering" w:customStyle="1" w:styleId="Style3">
    <w:name w:val="Style3"/>
    <w:uiPriority w:val="99"/>
    <w:rsid w:val="008C3BA5"/>
    <w:pPr>
      <w:numPr>
        <w:numId w:val="3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5D73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73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73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73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738C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0D7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0D7CC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93F73-BC5B-4527-AC19-7C61D8A30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644</Words>
  <Characters>4154</Characters>
  <Application>Microsoft Office Word</Application>
  <DocSecurity>0</DocSecurity>
  <Lines>180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Mason</dc:creator>
  <cp:lastModifiedBy>Yolanda Thomas-Jones</cp:lastModifiedBy>
  <cp:revision>3</cp:revision>
  <cp:lastPrinted>2018-10-10T13:40:00Z</cp:lastPrinted>
  <dcterms:created xsi:type="dcterms:W3CDTF">2018-11-07T15:27:00Z</dcterms:created>
  <dcterms:modified xsi:type="dcterms:W3CDTF">2018-11-07T15:27:00Z</dcterms:modified>
</cp:coreProperties>
</file>