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9FDA" w14:textId="77777777" w:rsidR="000D4670" w:rsidRPr="00CB600D" w:rsidRDefault="00F26C34" w:rsidP="00F26C34">
      <w:pPr>
        <w:jc w:val="center"/>
        <w:rPr>
          <w:rFonts w:cs="Times New Roman"/>
          <w:b/>
          <w:sz w:val="28"/>
          <w:szCs w:val="28"/>
        </w:rPr>
      </w:pPr>
      <w:r w:rsidRPr="00CB600D">
        <w:rPr>
          <w:rFonts w:cs="Times New Roman"/>
          <w:b/>
          <w:sz w:val="28"/>
          <w:szCs w:val="28"/>
        </w:rPr>
        <w:t>NORTHERN VIRGINIA TRANSPORTATION AUTHORITY</w:t>
      </w:r>
    </w:p>
    <w:p w14:paraId="785F20C5" w14:textId="77777777" w:rsidR="00F26C34" w:rsidRDefault="00F26C34" w:rsidP="00EA5FFA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CB600D">
        <w:rPr>
          <w:rFonts w:cs="Times New Roman"/>
          <w:b/>
          <w:sz w:val="24"/>
          <w:szCs w:val="24"/>
          <w:u w:val="single"/>
        </w:rPr>
        <w:t>M E M O R A N D U M</w:t>
      </w:r>
    </w:p>
    <w:p w14:paraId="35F8A745" w14:textId="77777777" w:rsidR="00EA5FFA" w:rsidRPr="00CB600D" w:rsidRDefault="00EA5FFA" w:rsidP="00EA5FFA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</w:p>
    <w:p w14:paraId="74792235" w14:textId="62CA989E" w:rsidR="00333C36" w:rsidRDefault="00333C36" w:rsidP="00EA5FFA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TO:</w:t>
      </w:r>
      <w:r w:rsidRPr="00CB600D">
        <w:rPr>
          <w:rFonts w:cs="Times New Roman"/>
          <w:b/>
          <w:sz w:val="24"/>
          <w:szCs w:val="24"/>
        </w:rPr>
        <w:tab/>
      </w:r>
      <w:r w:rsidRPr="00CB600D">
        <w:rPr>
          <w:rFonts w:cs="Times New Roman"/>
          <w:sz w:val="24"/>
          <w:szCs w:val="24"/>
        </w:rPr>
        <w:t xml:space="preserve">Chairman </w:t>
      </w:r>
      <w:r w:rsidR="00101ADD">
        <w:rPr>
          <w:rFonts w:cs="Times New Roman"/>
          <w:sz w:val="24"/>
          <w:szCs w:val="24"/>
        </w:rPr>
        <w:t>Nohe</w:t>
      </w:r>
      <w:r w:rsidR="00495D46" w:rsidRPr="00CB600D">
        <w:rPr>
          <w:rFonts w:cs="Times New Roman"/>
          <w:sz w:val="24"/>
          <w:szCs w:val="24"/>
        </w:rPr>
        <w:t xml:space="preserve"> and Members</w:t>
      </w:r>
      <w:r w:rsidR="007B1029">
        <w:rPr>
          <w:rFonts w:cs="Times New Roman"/>
          <w:sz w:val="24"/>
          <w:szCs w:val="24"/>
        </w:rPr>
        <w:t xml:space="preserve"> of the</w:t>
      </w:r>
    </w:p>
    <w:p w14:paraId="56039727" w14:textId="1B0FA19A" w:rsidR="007B1029" w:rsidRPr="007B1029" w:rsidRDefault="007B1029" w:rsidP="00EA5FFA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7B1029">
        <w:rPr>
          <w:rFonts w:cs="Times New Roman"/>
          <w:sz w:val="24"/>
          <w:szCs w:val="24"/>
        </w:rPr>
        <w:t xml:space="preserve">Northern Virginia Transportation </w:t>
      </w:r>
      <w:r>
        <w:rPr>
          <w:rFonts w:cs="Times New Roman"/>
          <w:sz w:val="24"/>
          <w:szCs w:val="24"/>
        </w:rPr>
        <w:t>A</w:t>
      </w:r>
      <w:r w:rsidRPr="007B1029">
        <w:rPr>
          <w:rFonts w:cs="Times New Roman"/>
          <w:sz w:val="24"/>
          <w:szCs w:val="24"/>
        </w:rPr>
        <w:t>uthority</w:t>
      </w:r>
    </w:p>
    <w:p w14:paraId="66223E6B" w14:textId="77777777" w:rsidR="00511D77" w:rsidRPr="007B1029" w:rsidRDefault="00511D77" w:rsidP="00EA5FFA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4AC16FC1" w14:textId="77777777" w:rsidR="00333C36" w:rsidRDefault="00333C36" w:rsidP="00EA5FFA">
      <w:pPr>
        <w:spacing w:line="240" w:lineRule="auto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FROM:</w:t>
      </w:r>
      <w:r w:rsidRPr="00CB600D">
        <w:rPr>
          <w:rFonts w:cs="Times New Roman"/>
          <w:b/>
          <w:sz w:val="24"/>
          <w:szCs w:val="24"/>
        </w:rPr>
        <w:tab/>
      </w:r>
      <w:r w:rsidR="00CB600D">
        <w:rPr>
          <w:rFonts w:cs="Times New Roman"/>
          <w:b/>
          <w:sz w:val="24"/>
          <w:szCs w:val="24"/>
        </w:rPr>
        <w:tab/>
      </w:r>
      <w:r w:rsidR="00CB600D" w:rsidRPr="00CB600D">
        <w:rPr>
          <w:rFonts w:cs="Times New Roman"/>
          <w:sz w:val="24"/>
          <w:szCs w:val="24"/>
        </w:rPr>
        <w:t>Michael Longhi, Chief Financial Officer</w:t>
      </w:r>
    </w:p>
    <w:p w14:paraId="79E913A1" w14:textId="77777777" w:rsidR="00383DEA" w:rsidRPr="00CB600D" w:rsidRDefault="00383DEA" w:rsidP="00EA5FFA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88BA539" w14:textId="372B8178" w:rsidR="00EA5FFA" w:rsidRDefault="00F26C34" w:rsidP="00EA5FFA">
      <w:pPr>
        <w:spacing w:line="240" w:lineRule="auto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SUBJECT:</w:t>
      </w:r>
      <w:r w:rsidR="001E7FEA" w:rsidRPr="00CB600D">
        <w:rPr>
          <w:rFonts w:cs="Times New Roman"/>
          <w:b/>
          <w:sz w:val="24"/>
          <w:szCs w:val="24"/>
        </w:rPr>
        <w:tab/>
      </w:r>
      <w:r w:rsidR="007250AC">
        <w:rPr>
          <w:rFonts w:cs="Times New Roman"/>
          <w:sz w:val="24"/>
          <w:szCs w:val="24"/>
        </w:rPr>
        <w:t xml:space="preserve">Investment Management and Monitoring </w:t>
      </w:r>
      <w:r w:rsidR="00A568E1">
        <w:rPr>
          <w:rFonts w:cs="Times New Roman"/>
          <w:sz w:val="24"/>
          <w:szCs w:val="24"/>
        </w:rPr>
        <w:t>Subscriptions</w:t>
      </w:r>
    </w:p>
    <w:p w14:paraId="7DA3037E" w14:textId="604E46A2" w:rsidR="00F26C34" w:rsidRPr="00CB600D" w:rsidRDefault="00B871F0" w:rsidP="00EA5FFA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71C9EA49" w14:textId="219A5341" w:rsidR="00F26C34" w:rsidRPr="00CB600D" w:rsidRDefault="00F26C34" w:rsidP="00EA5FFA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DATE:</w:t>
      </w:r>
      <w:r w:rsidR="001E7FEA" w:rsidRPr="00CB600D">
        <w:rPr>
          <w:rFonts w:cs="Times New Roman"/>
          <w:sz w:val="24"/>
          <w:szCs w:val="24"/>
        </w:rPr>
        <w:tab/>
      </w:r>
      <w:r w:rsidR="00CB600D">
        <w:rPr>
          <w:rFonts w:cs="Times New Roman"/>
          <w:sz w:val="24"/>
          <w:szCs w:val="24"/>
        </w:rPr>
        <w:tab/>
      </w:r>
      <w:r w:rsidR="007B1029">
        <w:rPr>
          <w:rFonts w:cs="Times New Roman"/>
          <w:sz w:val="24"/>
          <w:szCs w:val="24"/>
        </w:rPr>
        <w:t>November 2</w:t>
      </w:r>
      <w:r w:rsidR="00802DED" w:rsidRPr="00EA5FFA">
        <w:rPr>
          <w:rFonts w:cs="Times New Roman"/>
          <w:sz w:val="24"/>
          <w:szCs w:val="24"/>
        </w:rPr>
        <w:t>, 2018</w:t>
      </w:r>
      <w:r w:rsidR="00882F75" w:rsidRPr="00EA5FFA">
        <w:rPr>
          <w:rFonts w:cs="Times New Roman"/>
          <w:sz w:val="24"/>
          <w:szCs w:val="24"/>
        </w:rPr>
        <w:t xml:space="preserve"> </w:t>
      </w:r>
      <w:r w:rsidRPr="00EA5FFA">
        <w:rPr>
          <w:rFonts w:cs="Times New Roman"/>
          <w:b/>
          <w:sz w:val="24"/>
          <w:szCs w:val="24"/>
        </w:rPr>
        <w:br/>
        <w:t>_____________________________________________________________________________</w:t>
      </w:r>
    </w:p>
    <w:p w14:paraId="6A2DF9EA" w14:textId="027C1097" w:rsidR="00495D46" w:rsidRPr="00076C88" w:rsidRDefault="00BD6794" w:rsidP="0042069E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b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Purpose</w:t>
      </w:r>
      <w:r w:rsidR="00D429EC" w:rsidRPr="00707784">
        <w:rPr>
          <w:rFonts w:cs="Times New Roman"/>
          <w:b/>
          <w:sz w:val="24"/>
          <w:szCs w:val="24"/>
        </w:rPr>
        <w:t xml:space="preserve">:  </w:t>
      </w:r>
      <w:r w:rsidR="00D429EC" w:rsidRPr="00707784">
        <w:rPr>
          <w:rFonts w:cs="Times New Roman"/>
          <w:sz w:val="24"/>
          <w:szCs w:val="24"/>
        </w:rPr>
        <w:t xml:space="preserve">To </w:t>
      </w:r>
      <w:r w:rsidR="007250AC">
        <w:rPr>
          <w:rFonts w:cs="Times New Roman"/>
          <w:sz w:val="24"/>
          <w:szCs w:val="24"/>
        </w:rPr>
        <w:t>seek</w:t>
      </w:r>
      <w:r w:rsidR="00D429EC" w:rsidRPr="00707784">
        <w:rPr>
          <w:rFonts w:cs="Times New Roman"/>
          <w:sz w:val="24"/>
          <w:szCs w:val="24"/>
        </w:rPr>
        <w:t xml:space="preserve"> Northern Virginia Transportation Authority (NVTA) </w:t>
      </w:r>
      <w:r w:rsidR="007250AC">
        <w:rPr>
          <w:rFonts w:cs="Times New Roman"/>
          <w:sz w:val="24"/>
          <w:szCs w:val="24"/>
        </w:rPr>
        <w:t xml:space="preserve">approval of a budget transfer to enable the </w:t>
      </w:r>
      <w:r w:rsidR="00136413">
        <w:rPr>
          <w:rFonts w:cs="Times New Roman"/>
          <w:sz w:val="24"/>
          <w:szCs w:val="24"/>
        </w:rPr>
        <w:t xml:space="preserve">FY2019 </w:t>
      </w:r>
      <w:r w:rsidR="007250AC">
        <w:rPr>
          <w:rFonts w:cs="Times New Roman"/>
          <w:sz w:val="24"/>
          <w:szCs w:val="24"/>
        </w:rPr>
        <w:t>implementation of Investment Management and Monitoring Services</w:t>
      </w:r>
      <w:r w:rsidR="00597B63">
        <w:rPr>
          <w:rFonts w:cs="Times New Roman"/>
          <w:sz w:val="24"/>
          <w:szCs w:val="24"/>
        </w:rPr>
        <w:t>.</w:t>
      </w:r>
      <w:r w:rsidR="00D70158">
        <w:rPr>
          <w:rFonts w:cs="Times New Roman"/>
          <w:sz w:val="24"/>
          <w:szCs w:val="24"/>
        </w:rPr>
        <w:t xml:space="preserve">  The proposed transfer was reviewed by the NVTA Finance Committee which recommends approval by the Authority. </w:t>
      </w:r>
    </w:p>
    <w:p w14:paraId="00D9688B" w14:textId="77777777" w:rsidR="00076C88" w:rsidRPr="00802DED" w:rsidRDefault="00076C88" w:rsidP="0042069E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1A9E5BF2" w14:textId="1529BA5C" w:rsidR="00AF0B7F" w:rsidRDefault="007250AC" w:rsidP="00AF0B7F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Suggested Motion:  </w:t>
      </w:r>
      <w:r w:rsidRPr="00AF0B7F">
        <w:rPr>
          <w:rFonts w:cs="Times New Roman"/>
          <w:sz w:val="24"/>
          <w:szCs w:val="24"/>
        </w:rPr>
        <w:t>I move Authority</w:t>
      </w:r>
      <w:r w:rsidR="00AF0B7F" w:rsidRPr="00AF0B7F">
        <w:rPr>
          <w:rFonts w:cs="Times New Roman"/>
          <w:sz w:val="24"/>
          <w:szCs w:val="24"/>
        </w:rPr>
        <w:t xml:space="preserve"> approval of </w:t>
      </w:r>
      <w:r w:rsidR="00FA37BD">
        <w:rPr>
          <w:rFonts w:cs="Times New Roman"/>
          <w:sz w:val="24"/>
          <w:szCs w:val="24"/>
        </w:rPr>
        <w:t>a</w:t>
      </w:r>
      <w:r w:rsidR="00AF0B7F" w:rsidRPr="00AF0B7F">
        <w:rPr>
          <w:rFonts w:cs="Times New Roman"/>
          <w:sz w:val="24"/>
          <w:szCs w:val="24"/>
        </w:rPr>
        <w:t xml:space="preserve"> $</w:t>
      </w:r>
      <w:r w:rsidR="00FA37BD">
        <w:rPr>
          <w:rFonts w:cs="Times New Roman"/>
          <w:sz w:val="24"/>
          <w:szCs w:val="24"/>
        </w:rPr>
        <w:t>35,781.31</w:t>
      </w:r>
      <w:r w:rsidR="00AF0B7F" w:rsidRPr="00AF0B7F">
        <w:rPr>
          <w:rFonts w:cs="Times New Roman"/>
          <w:sz w:val="24"/>
          <w:szCs w:val="24"/>
        </w:rPr>
        <w:t xml:space="preserve"> transfer from the NVTA Operating Reserve </w:t>
      </w:r>
      <w:r w:rsidR="00D70158">
        <w:rPr>
          <w:rFonts w:cs="Times New Roman"/>
          <w:sz w:val="24"/>
          <w:szCs w:val="24"/>
        </w:rPr>
        <w:t>for FY2019 to obtain the Investment Management and Monitoring Services</w:t>
      </w:r>
      <w:r w:rsidR="00AF0B7F" w:rsidRPr="00AF0B7F">
        <w:rPr>
          <w:rFonts w:cs="Times New Roman"/>
          <w:sz w:val="24"/>
          <w:szCs w:val="24"/>
        </w:rPr>
        <w:t xml:space="preserve"> detailed </w:t>
      </w:r>
      <w:r w:rsidR="009E3564">
        <w:rPr>
          <w:rFonts w:cs="Times New Roman"/>
          <w:sz w:val="24"/>
          <w:szCs w:val="24"/>
        </w:rPr>
        <w:t xml:space="preserve">in Table 1 </w:t>
      </w:r>
      <w:r w:rsidR="00AF0B7F" w:rsidRPr="00AF0B7F">
        <w:rPr>
          <w:rFonts w:cs="Times New Roman"/>
          <w:sz w:val="24"/>
          <w:szCs w:val="24"/>
        </w:rPr>
        <w:t>below</w:t>
      </w:r>
      <w:r w:rsidR="00D70158">
        <w:rPr>
          <w:rFonts w:cs="Times New Roman"/>
          <w:sz w:val="24"/>
          <w:szCs w:val="24"/>
        </w:rPr>
        <w:t xml:space="preserve">.  And, authorize the Authority’s Chief Financial Officer to sign </w:t>
      </w:r>
      <w:r w:rsidR="000E12D6">
        <w:rPr>
          <w:rFonts w:cs="Times New Roman"/>
          <w:sz w:val="24"/>
          <w:szCs w:val="24"/>
        </w:rPr>
        <w:t xml:space="preserve">related </w:t>
      </w:r>
      <w:r w:rsidR="00D70158">
        <w:rPr>
          <w:rFonts w:cs="Times New Roman"/>
          <w:sz w:val="24"/>
          <w:szCs w:val="24"/>
        </w:rPr>
        <w:t>subscription service agreements</w:t>
      </w:r>
      <w:r w:rsidR="00AF0B7F" w:rsidRPr="00AF0B7F">
        <w:rPr>
          <w:rFonts w:cs="Times New Roman"/>
          <w:sz w:val="24"/>
          <w:szCs w:val="24"/>
        </w:rPr>
        <w:t>.</w:t>
      </w:r>
    </w:p>
    <w:p w14:paraId="39ABF344" w14:textId="77777777" w:rsidR="00AF0B7F" w:rsidRPr="00AF0B7F" w:rsidRDefault="00AF0B7F" w:rsidP="00AF0B7F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563D4A2B" w14:textId="77777777" w:rsidR="00E53BD7" w:rsidRPr="00E53BD7" w:rsidRDefault="00BB2C7F" w:rsidP="0042069E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b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Background</w:t>
      </w:r>
      <w:r w:rsidR="00E165CA" w:rsidRPr="00CB600D">
        <w:rPr>
          <w:rFonts w:cs="Times New Roman"/>
          <w:b/>
          <w:sz w:val="24"/>
          <w:szCs w:val="24"/>
        </w:rPr>
        <w:t>:</w:t>
      </w:r>
      <w:r w:rsidR="00F00938" w:rsidRPr="00CB600D">
        <w:rPr>
          <w:rFonts w:cs="Times New Roman"/>
          <w:sz w:val="24"/>
          <w:szCs w:val="24"/>
        </w:rPr>
        <w:t xml:space="preserve">  </w:t>
      </w:r>
    </w:p>
    <w:p w14:paraId="6CC51709" w14:textId="69486DAD" w:rsidR="00AF0B7F" w:rsidRDefault="00D70158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AF0B7F">
        <w:rPr>
          <w:rFonts w:cs="Times New Roman"/>
          <w:sz w:val="24"/>
          <w:szCs w:val="24"/>
        </w:rPr>
        <w:t>he NVTA investment portfolio is expected to reach $1 billion in size in the near term.</w:t>
      </w:r>
    </w:p>
    <w:p w14:paraId="6875DB4F" w14:textId="77777777" w:rsidR="00AF0B7F" w:rsidRDefault="00AF0B7F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size of the portfolio requires an enhanced set of tools to meet the NVTA Investment Policy objectives of Safety, Liquidity, then Yield (SLY).</w:t>
      </w:r>
    </w:p>
    <w:p w14:paraId="56351B11" w14:textId="77777777" w:rsidR="0046038B" w:rsidRDefault="00AF0B7F" w:rsidP="0046038B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NVTA Five Year Strategic Plan in Goal IV calls for; ‘Supporting transportation infrastructure development through excellent stewardship of tax payer dollars, maximizing opportun</w:t>
      </w:r>
      <w:r w:rsidR="0046038B">
        <w:rPr>
          <w:rFonts w:cs="Times New Roman"/>
          <w:sz w:val="24"/>
          <w:szCs w:val="24"/>
        </w:rPr>
        <w:t>ities from existing sources… ’.</w:t>
      </w:r>
    </w:p>
    <w:p w14:paraId="754488FD" w14:textId="46987B3E" w:rsidR="0014608F" w:rsidRPr="0046038B" w:rsidRDefault="0046038B" w:rsidP="0046038B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Interest income from the NVTA portfolio is estimated at $10 million/year.</w:t>
      </w:r>
    </w:p>
    <w:p w14:paraId="2EF6B5CF" w14:textId="17ED16B2" w:rsidR="00017CCE" w:rsidRDefault="00AF0B7F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 w:rsidRPr="00017CCE">
        <w:rPr>
          <w:rFonts w:cs="Times New Roman"/>
          <w:sz w:val="24"/>
          <w:szCs w:val="24"/>
        </w:rPr>
        <w:t xml:space="preserve">The growing size and complexity of the portfolio was given significant attention during the FY2018 Financial Statement </w:t>
      </w:r>
      <w:r w:rsidR="00024754">
        <w:rPr>
          <w:rFonts w:cs="Times New Roman"/>
          <w:sz w:val="24"/>
          <w:szCs w:val="24"/>
        </w:rPr>
        <w:t xml:space="preserve">and Compliance </w:t>
      </w:r>
      <w:r w:rsidRPr="00017CCE">
        <w:rPr>
          <w:rFonts w:cs="Times New Roman"/>
          <w:sz w:val="24"/>
          <w:szCs w:val="24"/>
        </w:rPr>
        <w:t>Audit.  During the audit, NVTA staff were able to demonstrate that research into improving the toolset</w:t>
      </w:r>
      <w:r w:rsidR="008D5FC7" w:rsidRPr="00017CCE">
        <w:rPr>
          <w:rFonts w:cs="Times New Roman"/>
          <w:sz w:val="24"/>
          <w:szCs w:val="24"/>
        </w:rPr>
        <w:t xml:space="preserve"> to</w:t>
      </w:r>
      <w:r w:rsidRPr="00017CCE">
        <w:rPr>
          <w:rFonts w:cs="Times New Roman"/>
          <w:sz w:val="24"/>
          <w:szCs w:val="24"/>
        </w:rPr>
        <w:t xml:space="preserve"> meet the Investment Policy </w:t>
      </w:r>
      <w:r w:rsidR="008D5FC7" w:rsidRPr="00017CCE">
        <w:rPr>
          <w:rFonts w:cs="Times New Roman"/>
          <w:sz w:val="24"/>
          <w:szCs w:val="24"/>
        </w:rPr>
        <w:t xml:space="preserve">(SLY) </w:t>
      </w:r>
      <w:r w:rsidRPr="00017CCE">
        <w:rPr>
          <w:rFonts w:cs="Times New Roman"/>
          <w:sz w:val="24"/>
          <w:szCs w:val="24"/>
        </w:rPr>
        <w:t>and Strategic Plan objectives was underway.</w:t>
      </w:r>
    </w:p>
    <w:p w14:paraId="0B1FD4CD" w14:textId="487AFB07" w:rsidR="00017CCE" w:rsidRDefault="00017CCE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Authority’s external auditor, PBMares LLP, recommended as part of the FY2018 Financial Statement and Compliance Audit that proce</w:t>
      </w:r>
      <w:r w:rsidR="000E12D6">
        <w:rPr>
          <w:rFonts w:cs="Times New Roman"/>
          <w:sz w:val="24"/>
          <w:szCs w:val="24"/>
        </w:rPr>
        <w:t>sses</w:t>
      </w:r>
      <w:r>
        <w:rPr>
          <w:rFonts w:cs="Times New Roman"/>
          <w:sz w:val="24"/>
          <w:szCs w:val="24"/>
        </w:rPr>
        <w:t xml:space="preserve"> be implemented to ensure an ongoing review of the credit ratings of purchased investments.</w:t>
      </w:r>
    </w:p>
    <w:p w14:paraId="2459AC65" w14:textId="49A99E04" w:rsidR="009E3564" w:rsidRPr="00017CCE" w:rsidRDefault="009E3564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 w:rsidRPr="00017CCE">
        <w:rPr>
          <w:rFonts w:cs="Times New Roman"/>
          <w:sz w:val="24"/>
          <w:szCs w:val="24"/>
        </w:rPr>
        <w:t>The subscription tools have an additional benefit of improved pricing for securities leading to great</w:t>
      </w:r>
      <w:r w:rsidR="00B90B9A" w:rsidRPr="00017CCE">
        <w:rPr>
          <w:rFonts w:cs="Times New Roman"/>
          <w:sz w:val="24"/>
          <w:szCs w:val="24"/>
        </w:rPr>
        <w:t>er</w:t>
      </w:r>
      <w:r w:rsidRPr="00017CCE">
        <w:rPr>
          <w:rFonts w:cs="Times New Roman"/>
          <w:sz w:val="24"/>
          <w:szCs w:val="24"/>
        </w:rPr>
        <w:t xml:space="preserve"> yield.  The greater yield </w:t>
      </w:r>
      <w:r w:rsidR="008D5FC7" w:rsidRPr="00017CCE">
        <w:rPr>
          <w:rFonts w:cs="Times New Roman"/>
          <w:sz w:val="24"/>
          <w:szCs w:val="24"/>
        </w:rPr>
        <w:t xml:space="preserve">will </w:t>
      </w:r>
      <w:r w:rsidRPr="00017CCE">
        <w:rPr>
          <w:rFonts w:cs="Times New Roman"/>
          <w:sz w:val="24"/>
          <w:szCs w:val="24"/>
        </w:rPr>
        <w:t>generate as much as $220,000 in additional interest income for the Regional Revenue Fund (70%).</w:t>
      </w:r>
    </w:p>
    <w:p w14:paraId="2796AF69" w14:textId="6933B5BD" w:rsidR="00C836AD" w:rsidRDefault="004076EE" w:rsidP="00AF0B7F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NVTA staff </w:t>
      </w:r>
      <w:r w:rsidR="00C836AD">
        <w:rPr>
          <w:rFonts w:cs="Times New Roman"/>
          <w:sz w:val="24"/>
          <w:szCs w:val="24"/>
        </w:rPr>
        <w:t>presented and reviewed</w:t>
      </w:r>
      <w:r w:rsidR="00D70158">
        <w:rPr>
          <w:rFonts w:cs="Times New Roman"/>
          <w:sz w:val="24"/>
          <w:szCs w:val="24"/>
        </w:rPr>
        <w:t xml:space="preserve"> three subscription services </w:t>
      </w:r>
      <w:r w:rsidR="00C836AD">
        <w:rPr>
          <w:rFonts w:cs="Times New Roman"/>
          <w:sz w:val="24"/>
          <w:szCs w:val="24"/>
        </w:rPr>
        <w:t xml:space="preserve">at </w:t>
      </w:r>
      <w:r w:rsidR="00D70158">
        <w:rPr>
          <w:rFonts w:cs="Times New Roman"/>
          <w:sz w:val="24"/>
          <w:szCs w:val="24"/>
        </w:rPr>
        <w:t>the Finance Committee</w:t>
      </w:r>
      <w:r w:rsidR="00C836AD">
        <w:rPr>
          <w:rFonts w:cs="Times New Roman"/>
          <w:sz w:val="24"/>
          <w:szCs w:val="24"/>
        </w:rPr>
        <w:t xml:space="preserve">’s </w:t>
      </w:r>
      <w:r w:rsidR="00D70158">
        <w:rPr>
          <w:rFonts w:cs="Times New Roman"/>
          <w:sz w:val="24"/>
          <w:szCs w:val="24"/>
        </w:rPr>
        <w:t>September 2018</w:t>
      </w:r>
      <w:r w:rsidR="00C836AD">
        <w:rPr>
          <w:rFonts w:cs="Times New Roman"/>
          <w:sz w:val="24"/>
          <w:szCs w:val="24"/>
        </w:rPr>
        <w:t xml:space="preserve"> meeting</w:t>
      </w:r>
      <w:r w:rsidR="00D70158">
        <w:rPr>
          <w:rFonts w:cs="Times New Roman"/>
          <w:sz w:val="24"/>
          <w:szCs w:val="24"/>
        </w:rPr>
        <w:t>.</w:t>
      </w:r>
    </w:p>
    <w:p w14:paraId="4322CF82" w14:textId="4826BCA5" w:rsidR="00C836AD" w:rsidRDefault="00C836AD" w:rsidP="00C836AD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Upon further examination and analysis, NVTA staff recommended the services noted in Table 1 to the Finance Committee with the proposed FY2019 budget transfer to implement the services this fiscal year.</w:t>
      </w:r>
    </w:p>
    <w:p w14:paraId="3045C0AB" w14:textId="6F1E1499" w:rsidR="00AF0B7F" w:rsidRPr="00AF0B7F" w:rsidRDefault="004076EE" w:rsidP="004076EE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5B17745B" w14:textId="14FC2171" w:rsidR="00F05E9C" w:rsidRPr="00F05E9C" w:rsidRDefault="004076EE" w:rsidP="002A162C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Proposed Transfer</w:t>
      </w:r>
      <w:r w:rsidR="002A162C" w:rsidRPr="002A162C">
        <w:rPr>
          <w:rFonts w:cs="Times New Roman"/>
          <w:b/>
          <w:sz w:val="24"/>
          <w:szCs w:val="24"/>
        </w:rPr>
        <w:t>:</w:t>
      </w:r>
      <w:r w:rsidR="008D5FC7">
        <w:rPr>
          <w:rFonts w:cs="Times New Roman"/>
          <w:b/>
          <w:sz w:val="24"/>
          <w:szCs w:val="24"/>
        </w:rPr>
        <w:t xml:space="preserve">  </w:t>
      </w:r>
      <w:r w:rsidR="008D5FC7" w:rsidRPr="00F05E9C">
        <w:rPr>
          <w:rFonts w:cs="Times New Roman"/>
          <w:sz w:val="24"/>
          <w:szCs w:val="24"/>
        </w:rPr>
        <w:t xml:space="preserve">After </w:t>
      </w:r>
      <w:r w:rsidR="00F05E9C">
        <w:rPr>
          <w:rFonts w:cs="Times New Roman"/>
          <w:sz w:val="24"/>
          <w:szCs w:val="24"/>
        </w:rPr>
        <w:t xml:space="preserve">trial </w:t>
      </w:r>
      <w:r w:rsidR="008D5FC7" w:rsidRPr="00F05E9C">
        <w:rPr>
          <w:rFonts w:cs="Times New Roman"/>
          <w:sz w:val="24"/>
          <w:szCs w:val="24"/>
        </w:rPr>
        <w:t xml:space="preserve">analysis </w:t>
      </w:r>
      <w:r w:rsidR="00F05E9C">
        <w:rPr>
          <w:rFonts w:cs="Times New Roman"/>
          <w:sz w:val="24"/>
          <w:szCs w:val="24"/>
        </w:rPr>
        <w:t xml:space="preserve">periods, </w:t>
      </w:r>
      <w:r w:rsidR="008D5FC7" w:rsidRPr="00F05E9C">
        <w:rPr>
          <w:rFonts w:cs="Times New Roman"/>
          <w:sz w:val="24"/>
          <w:szCs w:val="24"/>
        </w:rPr>
        <w:t xml:space="preserve">NVTA staff have determined the best combination of tools is the Bloomberg </w:t>
      </w:r>
      <w:r w:rsidR="00F05E9C" w:rsidRPr="00F05E9C">
        <w:rPr>
          <w:rFonts w:cs="Times New Roman"/>
          <w:sz w:val="24"/>
          <w:szCs w:val="24"/>
        </w:rPr>
        <w:t>A</w:t>
      </w:r>
      <w:r w:rsidR="008D5FC7" w:rsidRPr="00F05E9C">
        <w:rPr>
          <w:rFonts w:cs="Times New Roman"/>
          <w:sz w:val="24"/>
          <w:szCs w:val="24"/>
        </w:rPr>
        <w:t>nywhere</w:t>
      </w:r>
      <w:r w:rsidR="00F05E9C" w:rsidRPr="00F05E9C">
        <w:rPr>
          <w:rFonts w:cs="Times New Roman"/>
          <w:sz w:val="24"/>
          <w:szCs w:val="24"/>
        </w:rPr>
        <w:t xml:space="preserve"> subscription with Real Time Pricing and the Inter Continental Exchange (ICE) Best Ex Vantage subscription.</w:t>
      </w:r>
    </w:p>
    <w:p w14:paraId="24CB692F" w14:textId="05522AD4" w:rsidR="002A162C" w:rsidRPr="002A162C" w:rsidRDefault="00F01FB5" w:rsidP="00F05E9C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transfer noted </w:t>
      </w:r>
      <w:r w:rsidR="0071320B">
        <w:rPr>
          <w:rFonts w:cs="Times New Roman"/>
          <w:sz w:val="24"/>
          <w:szCs w:val="24"/>
        </w:rPr>
        <w:t xml:space="preserve">in Table 1 </w:t>
      </w:r>
      <w:r>
        <w:rPr>
          <w:rFonts w:cs="Times New Roman"/>
          <w:sz w:val="24"/>
          <w:szCs w:val="24"/>
        </w:rPr>
        <w:t>below</w:t>
      </w:r>
      <w:r w:rsidR="0071320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will fund the impleme</w:t>
      </w:r>
      <w:r w:rsidR="009E3564">
        <w:rPr>
          <w:rFonts w:cs="Times New Roman"/>
          <w:sz w:val="24"/>
          <w:szCs w:val="24"/>
        </w:rPr>
        <w:t>ntation of</w:t>
      </w:r>
      <w:r w:rsidR="008D5FC7">
        <w:rPr>
          <w:rFonts w:cs="Times New Roman"/>
          <w:sz w:val="24"/>
          <w:szCs w:val="24"/>
        </w:rPr>
        <w:t xml:space="preserve"> the </w:t>
      </w:r>
      <w:r w:rsidR="009E3564">
        <w:rPr>
          <w:rFonts w:cs="Times New Roman"/>
          <w:sz w:val="24"/>
          <w:szCs w:val="24"/>
        </w:rPr>
        <w:t>investment tools for the final 7 months of this fiscal year.</w:t>
      </w:r>
    </w:p>
    <w:p w14:paraId="7C777AD0" w14:textId="78785CE0" w:rsidR="002A162C" w:rsidRDefault="009E3564" w:rsidP="002A162C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FY2019 cost of the subscriptions and one time implementation costs (to be funded from the Operating Reserve) is $</w:t>
      </w:r>
      <w:r w:rsidR="00B90B9A">
        <w:rPr>
          <w:rFonts w:cs="Times New Roman"/>
          <w:sz w:val="24"/>
          <w:szCs w:val="24"/>
        </w:rPr>
        <w:t>35,781.31</w:t>
      </w:r>
      <w:r w:rsidR="002A162C">
        <w:rPr>
          <w:rFonts w:cs="Times New Roman"/>
          <w:sz w:val="24"/>
          <w:szCs w:val="24"/>
        </w:rPr>
        <w:t>.</w:t>
      </w:r>
    </w:p>
    <w:p w14:paraId="5F2416CA" w14:textId="0F6F7AC4" w:rsidR="009E3564" w:rsidRDefault="009E3564" w:rsidP="002A162C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Operating Reserve will be replenished as part of the FY2020 Operating Budget.</w:t>
      </w:r>
    </w:p>
    <w:p w14:paraId="272E5660" w14:textId="5DEE91BB" w:rsidR="002A162C" w:rsidRPr="009E3564" w:rsidRDefault="009E3564" w:rsidP="009E3564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ongoing annual costs starting in FY2020 are estimated at $48,210.00</w:t>
      </w:r>
    </w:p>
    <w:p w14:paraId="356E58DE" w14:textId="1AC055E6" w:rsidR="0071320B" w:rsidRDefault="00B90B9A" w:rsidP="00A559FA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B90B9A">
        <w:rPr>
          <w:noProof/>
        </w:rPr>
        <w:drawing>
          <wp:inline distT="0" distB="0" distL="0" distR="0" wp14:anchorId="76B1E10E" wp14:editId="244C3600">
            <wp:extent cx="5457825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1A3B" w14:textId="77777777" w:rsidR="0071320B" w:rsidRPr="00CB600D" w:rsidRDefault="0071320B" w:rsidP="00A559F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sectPr w:rsidR="0071320B" w:rsidRPr="00CB600D" w:rsidSect="00B76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7891" w14:textId="77777777" w:rsidR="00541AB3" w:rsidRDefault="00541AB3" w:rsidP="00477CE8">
      <w:pPr>
        <w:spacing w:after="0" w:line="240" w:lineRule="auto"/>
      </w:pPr>
      <w:r>
        <w:separator/>
      </w:r>
    </w:p>
  </w:endnote>
  <w:endnote w:type="continuationSeparator" w:id="0">
    <w:p w14:paraId="439F1974" w14:textId="77777777" w:rsidR="00541AB3" w:rsidRDefault="00541AB3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FED4" w14:textId="77777777" w:rsidR="0059033F" w:rsidRDefault="0059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3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FAA5E" w14:textId="77777777" w:rsidR="00BB3ED2" w:rsidRDefault="00BB3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7A0AD" w14:textId="77777777" w:rsidR="00477CE8" w:rsidRDefault="00477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A9ED" w14:textId="77777777" w:rsidR="0059033F" w:rsidRDefault="0059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6260" w14:textId="77777777" w:rsidR="00541AB3" w:rsidRDefault="00541AB3" w:rsidP="00477CE8">
      <w:pPr>
        <w:spacing w:after="0" w:line="240" w:lineRule="auto"/>
      </w:pPr>
      <w:r>
        <w:separator/>
      </w:r>
    </w:p>
  </w:footnote>
  <w:footnote w:type="continuationSeparator" w:id="0">
    <w:p w14:paraId="01AC989C" w14:textId="77777777" w:rsidR="00541AB3" w:rsidRDefault="00541AB3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4FFE" w14:textId="77777777" w:rsidR="0059033F" w:rsidRDefault="0059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D5DF" w14:textId="77777777" w:rsidR="0059033F" w:rsidRDefault="00590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88DA" w14:textId="537879D8" w:rsidR="00084BDF" w:rsidRPr="00CB600D" w:rsidRDefault="00101ADD" w:rsidP="00575A62">
    <w:pPr>
      <w:pStyle w:val="Header"/>
      <w:jc w:val="right"/>
      <w:rPr>
        <w:rFonts w:cs="Times New Roman"/>
        <w:b/>
        <w:sz w:val="72"/>
        <w:szCs w:val="72"/>
      </w:rPr>
    </w:pPr>
    <w:r>
      <w:rPr>
        <w:rFonts w:cs="Times New Roman"/>
        <w:b/>
        <w:sz w:val="72"/>
        <w:szCs w:val="72"/>
      </w:rPr>
      <w:t>X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C03"/>
    <w:multiLevelType w:val="hybridMultilevel"/>
    <w:tmpl w:val="1DA4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9CE"/>
    <w:multiLevelType w:val="hybridMultilevel"/>
    <w:tmpl w:val="60A067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7CF"/>
    <w:multiLevelType w:val="hybridMultilevel"/>
    <w:tmpl w:val="39E0A012"/>
    <w:lvl w:ilvl="0" w:tplc="4642A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B69AC"/>
    <w:multiLevelType w:val="hybridMultilevel"/>
    <w:tmpl w:val="5750FF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76BE7"/>
    <w:multiLevelType w:val="hybridMultilevel"/>
    <w:tmpl w:val="A022E3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C3609"/>
    <w:multiLevelType w:val="hybridMultilevel"/>
    <w:tmpl w:val="86CA5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906A3"/>
    <w:multiLevelType w:val="hybridMultilevel"/>
    <w:tmpl w:val="74B6E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425D5"/>
    <w:multiLevelType w:val="hybridMultilevel"/>
    <w:tmpl w:val="4BD2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2DBE"/>
    <w:multiLevelType w:val="multilevel"/>
    <w:tmpl w:val="ACD4EA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C66015"/>
    <w:multiLevelType w:val="hybridMultilevel"/>
    <w:tmpl w:val="C28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3FC"/>
    <w:multiLevelType w:val="hybridMultilevel"/>
    <w:tmpl w:val="C51406B6"/>
    <w:lvl w:ilvl="0" w:tplc="1E7E1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E32"/>
    <w:multiLevelType w:val="hybridMultilevel"/>
    <w:tmpl w:val="16342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95011"/>
    <w:multiLevelType w:val="hybridMultilevel"/>
    <w:tmpl w:val="D9F64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64D8A"/>
    <w:multiLevelType w:val="hybridMultilevel"/>
    <w:tmpl w:val="A844C16A"/>
    <w:lvl w:ilvl="0" w:tplc="E8406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B0B7B"/>
    <w:multiLevelType w:val="hybridMultilevel"/>
    <w:tmpl w:val="AC0E0FEA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EB9"/>
    <w:multiLevelType w:val="hybridMultilevel"/>
    <w:tmpl w:val="A18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3AD6"/>
    <w:multiLevelType w:val="hybridMultilevel"/>
    <w:tmpl w:val="B852B5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E7307B"/>
    <w:multiLevelType w:val="hybridMultilevel"/>
    <w:tmpl w:val="DEBA20B4"/>
    <w:lvl w:ilvl="0" w:tplc="F028C8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45FF2"/>
    <w:multiLevelType w:val="hybridMultilevel"/>
    <w:tmpl w:val="F36293F8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7407"/>
    <w:multiLevelType w:val="hybridMultilevel"/>
    <w:tmpl w:val="F2BE0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0ACF"/>
    <w:multiLevelType w:val="hybridMultilevel"/>
    <w:tmpl w:val="8CD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7A61"/>
    <w:multiLevelType w:val="hybridMultilevel"/>
    <w:tmpl w:val="18EEB778"/>
    <w:lvl w:ilvl="0" w:tplc="E86AB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21"/>
  </w:num>
  <w:num w:numId="9">
    <w:abstractNumId w:val="17"/>
  </w:num>
  <w:num w:numId="10">
    <w:abstractNumId w:val="5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34"/>
    <w:rsid w:val="0000428B"/>
    <w:rsid w:val="00014FE3"/>
    <w:rsid w:val="000164E6"/>
    <w:rsid w:val="00017CCE"/>
    <w:rsid w:val="00024754"/>
    <w:rsid w:val="00031227"/>
    <w:rsid w:val="00050437"/>
    <w:rsid w:val="000670F9"/>
    <w:rsid w:val="000707BB"/>
    <w:rsid w:val="00074F6B"/>
    <w:rsid w:val="00076C88"/>
    <w:rsid w:val="00084BDF"/>
    <w:rsid w:val="00086679"/>
    <w:rsid w:val="00087881"/>
    <w:rsid w:val="00092E11"/>
    <w:rsid w:val="000952B7"/>
    <w:rsid w:val="000A2AF9"/>
    <w:rsid w:val="000A3E40"/>
    <w:rsid w:val="000B4D9F"/>
    <w:rsid w:val="000B50DF"/>
    <w:rsid w:val="000C530D"/>
    <w:rsid w:val="000D00CB"/>
    <w:rsid w:val="000D4670"/>
    <w:rsid w:val="000E12D6"/>
    <w:rsid w:val="00100980"/>
    <w:rsid w:val="00101ADD"/>
    <w:rsid w:val="00107011"/>
    <w:rsid w:val="001322AA"/>
    <w:rsid w:val="00134C6F"/>
    <w:rsid w:val="00136413"/>
    <w:rsid w:val="00136D13"/>
    <w:rsid w:val="0014608F"/>
    <w:rsid w:val="00166DA6"/>
    <w:rsid w:val="00172334"/>
    <w:rsid w:val="0017654F"/>
    <w:rsid w:val="001901B8"/>
    <w:rsid w:val="00194D67"/>
    <w:rsid w:val="001C7C64"/>
    <w:rsid w:val="001D5B5E"/>
    <w:rsid w:val="001D78BE"/>
    <w:rsid w:val="001E506C"/>
    <w:rsid w:val="001E7FEA"/>
    <w:rsid w:val="001F5B0D"/>
    <w:rsid w:val="001F5D78"/>
    <w:rsid w:val="001F7C25"/>
    <w:rsid w:val="0020320B"/>
    <w:rsid w:val="00226233"/>
    <w:rsid w:val="00227E84"/>
    <w:rsid w:val="00233672"/>
    <w:rsid w:val="00240474"/>
    <w:rsid w:val="0024183C"/>
    <w:rsid w:val="002524ED"/>
    <w:rsid w:val="0025250E"/>
    <w:rsid w:val="002540F0"/>
    <w:rsid w:val="00257EB8"/>
    <w:rsid w:val="0026655B"/>
    <w:rsid w:val="002708B0"/>
    <w:rsid w:val="0028112A"/>
    <w:rsid w:val="0028270E"/>
    <w:rsid w:val="00284AD2"/>
    <w:rsid w:val="002859C4"/>
    <w:rsid w:val="00295407"/>
    <w:rsid w:val="002A162C"/>
    <w:rsid w:val="002C2C52"/>
    <w:rsid w:val="002C6FCD"/>
    <w:rsid w:val="002D0875"/>
    <w:rsid w:val="002D4380"/>
    <w:rsid w:val="002F48BF"/>
    <w:rsid w:val="002F7DFB"/>
    <w:rsid w:val="00300846"/>
    <w:rsid w:val="00303C60"/>
    <w:rsid w:val="00314B59"/>
    <w:rsid w:val="00333C36"/>
    <w:rsid w:val="00350F5E"/>
    <w:rsid w:val="003662C6"/>
    <w:rsid w:val="00380A48"/>
    <w:rsid w:val="00383DEA"/>
    <w:rsid w:val="003A3DB9"/>
    <w:rsid w:val="003E48A5"/>
    <w:rsid w:val="003F61CD"/>
    <w:rsid w:val="004076EE"/>
    <w:rsid w:val="00415BA3"/>
    <w:rsid w:val="0042069E"/>
    <w:rsid w:val="004251E7"/>
    <w:rsid w:val="00443B40"/>
    <w:rsid w:val="00452782"/>
    <w:rsid w:val="00456307"/>
    <w:rsid w:val="0046038B"/>
    <w:rsid w:val="0046045F"/>
    <w:rsid w:val="0046579A"/>
    <w:rsid w:val="004668CE"/>
    <w:rsid w:val="00477CE8"/>
    <w:rsid w:val="0048307A"/>
    <w:rsid w:val="004904CF"/>
    <w:rsid w:val="00495D46"/>
    <w:rsid w:val="00496B90"/>
    <w:rsid w:val="004A2E4B"/>
    <w:rsid w:val="004A5B79"/>
    <w:rsid w:val="004B3F46"/>
    <w:rsid w:val="004E61E2"/>
    <w:rsid w:val="00502FD6"/>
    <w:rsid w:val="00511D77"/>
    <w:rsid w:val="00521917"/>
    <w:rsid w:val="0053275A"/>
    <w:rsid w:val="005340EC"/>
    <w:rsid w:val="005368D9"/>
    <w:rsid w:val="00541AB3"/>
    <w:rsid w:val="005575E6"/>
    <w:rsid w:val="00567735"/>
    <w:rsid w:val="00575A62"/>
    <w:rsid w:val="0059033F"/>
    <w:rsid w:val="0059167B"/>
    <w:rsid w:val="0059202E"/>
    <w:rsid w:val="0059407D"/>
    <w:rsid w:val="00597B63"/>
    <w:rsid w:val="005A00A9"/>
    <w:rsid w:val="005C0215"/>
    <w:rsid w:val="005D6BF1"/>
    <w:rsid w:val="005E1FD6"/>
    <w:rsid w:val="005F285D"/>
    <w:rsid w:val="005F49D1"/>
    <w:rsid w:val="006211FC"/>
    <w:rsid w:val="00633FC8"/>
    <w:rsid w:val="00635300"/>
    <w:rsid w:val="006402E4"/>
    <w:rsid w:val="00640352"/>
    <w:rsid w:val="00646D21"/>
    <w:rsid w:val="0065189E"/>
    <w:rsid w:val="00673950"/>
    <w:rsid w:val="0067780E"/>
    <w:rsid w:val="006901CA"/>
    <w:rsid w:val="006970D6"/>
    <w:rsid w:val="006A0A3E"/>
    <w:rsid w:val="006A78C3"/>
    <w:rsid w:val="006D7346"/>
    <w:rsid w:val="006D7FAA"/>
    <w:rsid w:val="006E7898"/>
    <w:rsid w:val="006F627B"/>
    <w:rsid w:val="00703D7B"/>
    <w:rsid w:val="00712475"/>
    <w:rsid w:val="0071320B"/>
    <w:rsid w:val="0072026E"/>
    <w:rsid w:val="00723599"/>
    <w:rsid w:val="007250AC"/>
    <w:rsid w:val="00735227"/>
    <w:rsid w:val="0073666B"/>
    <w:rsid w:val="00752EAA"/>
    <w:rsid w:val="00761AA4"/>
    <w:rsid w:val="00770D9E"/>
    <w:rsid w:val="00775738"/>
    <w:rsid w:val="0077750C"/>
    <w:rsid w:val="007978B1"/>
    <w:rsid w:val="007B1029"/>
    <w:rsid w:val="007E2511"/>
    <w:rsid w:val="007E6D41"/>
    <w:rsid w:val="007F41B7"/>
    <w:rsid w:val="00802DED"/>
    <w:rsid w:val="008112EB"/>
    <w:rsid w:val="00814CF6"/>
    <w:rsid w:val="00881258"/>
    <w:rsid w:val="00882A00"/>
    <w:rsid w:val="00882F75"/>
    <w:rsid w:val="0089402B"/>
    <w:rsid w:val="00895C44"/>
    <w:rsid w:val="008C73A8"/>
    <w:rsid w:val="008D3EA4"/>
    <w:rsid w:val="008D5FC7"/>
    <w:rsid w:val="008E74D2"/>
    <w:rsid w:val="008F1370"/>
    <w:rsid w:val="00907D48"/>
    <w:rsid w:val="009671BD"/>
    <w:rsid w:val="00973FBB"/>
    <w:rsid w:val="00975FD3"/>
    <w:rsid w:val="00976ACB"/>
    <w:rsid w:val="0097713A"/>
    <w:rsid w:val="009A2289"/>
    <w:rsid w:val="009A4CF9"/>
    <w:rsid w:val="009C1B2C"/>
    <w:rsid w:val="009C2583"/>
    <w:rsid w:val="009D758F"/>
    <w:rsid w:val="009D75A9"/>
    <w:rsid w:val="009E1777"/>
    <w:rsid w:val="009E3564"/>
    <w:rsid w:val="009E62D2"/>
    <w:rsid w:val="009E74E9"/>
    <w:rsid w:val="009F0AB7"/>
    <w:rsid w:val="009F67AD"/>
    <w:rsid w:val="00A07295"/>
    <w:rsid w:val="00A107B8"/>
    <w:rsid w:val="00A26D34"/>
    <w:rsid w:val="00A27CF5"/>
    <w:rsid w:val="00A339A5"/>
    <w:rsid w:val="00A36249"/>
    <w:rsid w:val="00A555B9"/>
    <w:rsid w:val="00A559FA"/>
    <w:rsid w:val="00A568E1"/>
    <w:rsid w:val="00A70612"/>
    <w:rsid w:val="00A74606"/>
    <w:rsid w:val="00A90A3A"/>
    <w:rsid w:val="00AA6B3C"/>
    <w:rsid w:val="00AB0256"/>
    <w:rsid w:val="00AB7B52"/>
    <w:rsid w:val="00AD2D72"/>
    <w:rsid w:val="00AE27F2"/>
    <w:rsid w:val="00AE546C"/>
    <w:rsid w:val="00AE5AFB"/>
    <w:rsid w:val="00AF0B7F"/>
    <w:rsid w:val="00B00B9B"/>
    <w:rsid w:val="00B03FB9"/>
    <w:rsid w:val="00B0745E"/>
    <w:rsid w:val="00B1522D"/>
    <w:rsid w:val="00B3356D"/>
    <w:rsid w:val="00B41607"/>
    <w:rsid w:val="00B43E52"/>
    <w:rsid w:val="00B51C1A"/>
    <w:rsid w:val="00B53BB8"/>
    <w:rsid w:val="00B7661C"/>
    <w:rsid w:val="00B871F0"/>
    <w:rsid w:val="00B87F32"/>
    <w:rsid w:val="00B90B9A"/>
    <w:rsid w:val="00B92CE7"/>
    <w:rsid w:val="00B976D9"/>
    <w:rsid w:val="00BA3E99"/>
    <w:rsid w:val="00BA7807"/>
    <w:rsid w:val="00BB22B7"/>
    <w:rsid w:val="00BB2C7F"/>
    <w:rsid w:val="00BB3ED2"/>
    <w:rsid w:val="00BC4C8F"/>
    <w:rsid w:val="00BD6794"/>
    <w:rsid w:val="00BD6871"/>
    <w:rsid w:val="00BE7F0E"/>
    <w:rsid w:val="00BF061C"/>
    <w:rsid w:val="00BF27F4"/>
    <w:rsid w:val="00BF6A9D"/>
    <w:rsid w:val="00C2234C"/>
    <w:rsid w:val="00C464E1"/>
    <w:rsid w:val="00C46D3D"/>
    <w:rsid w:val="00C50C2E"/>
    <w:rsid w:val="00C670E1"/>
    <w:rsid w:val="00C71BC8"/>
    <w:rsid w:val="00C836AD"/>
    <w:rsid w:val="00C8576A"/>
    <w:rsid w:val="00C91188"/>
    <w:rsid w:val="00C946E8"/>
    <w:rsid w:val="00C95C14"/>
    <w:rsid w:val="00CA378D"/>
    <w:rsid w:val="00CA41DA"/>
    <w:rsid w:val="00CB576A"/>
    <w:rsid w:val="00CB600D"/>
    <w:rsid w:val="00CB7E92"/>
    <w:rsid w:val="00CD1D19"/>
    <w:rsid w:val="00CD589A"/>
    <w:rsid w:val="00D04D99"/>
    <w:rsid w:val="00D429EC"/>
    <w:rsid w:val="00D57ECF"/>
    <w:rsid w:val="00D70158"/>
    <w:rsid w:val="00D73C2F"/>
    <w:rsid w:val="00D74E80"/>
    <w:rsid w:val="00D96667"/>
    <w:rsid w:val="00DA4302"/>
    <w:rsid w:val="00DB1858"/>
    <w:rsid w:val="00DB1E26"/>
    <w:rsid w:val="00DB20D8"/>
    <w:rsid w:val="00DB2C5A"/>
    <w:rsid w:val="00DD2662"/>
    <w:rsid w:val="00DD7277"/>
    <w:rsid w:val="00DE7B20"/>
    <w:rsid w:val="00E03323"/>
    <w:rsid w:val="00E049BC"/>
    <w:rsid w:val="00E06BEC"/>
    <w:rsid w:val="00E14644"/>
    <w:rsid w:val="00E165CA"/>
    <w:rsid w:val="00E169EC"/>
    <w:rsid w:val="00E227AF"/>
    <w:rsid w:val="00E31DE3"/>
    <w:rsid w:val="00E3395D"/>
    <w:rsid w:val="00E33C5B"/>
    <w:rsid w:val="00E35BCB"/>
    <w:rsid w:val="00E52C26"/>
    <w:rsid w:val="00E53BD7"/>
    <w:rsid w:val="00E72F2A"/>
    <w:rsid w:val="00EA5FFA"/>
    <w:rsid w:val="00EB442D"/>
    <w:rsid w:val="00EB5E7F"/>
    <w:rsid w:val="00ED4CAC"/>
    <w:rsid w:val="00EE3977"/>
    <w:rsid w:val="00EE6BD5"/>
    <w:rsid w:val="00F00938"/>
    <w:rsid w:val="00F01FB5"/>
    <w:rsid w:val="00F05E9C"/>
    <w:rsid w:val="00F1655B"/>
    <w:rsid w:val="00F26C34"/>
    <w:rsid w:val="00F278BD"/>
    <w:rsid w:val="00F34C3D"/>
    <w:rsid w:val="00F457FF"/>
    <w:rsid w:val="00F52784"/>
    <w:rsid w:val="00F54823"/>
    <w:rsid w:val="00F55EFA"/>
    <w:rsid w:val="00F5634E"/>
    <w:rsid w:val="00F56FCD"/>
    <w:rsid w:val="00F607DF"/>
    <w:rsid w:val="00F84B8D"/>
    <w:rsid w:val="00FA37BD"/>
    <w:rsid w:val="00FA45A7"/>
    <w:rsid w:val="00FB1656"/>
    <w:rsid w:val="00FC0B81"/>
    <w:rsid w:val="00FC3AA1"/>
    <w:rsid w:val="00FC518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AC96DA5"/>
  <w15:docId w15:val="{261CEE3A-3797-4715-8D64-BAB3D9E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D9AB-6D8D-4364-AEE7-8E4EFFD0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2812</Characters>
  <Application>Microsoft Office Word</Application>
  <DocSecurity>0</DocSecurity>
  <Lines>122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Mason</dc:creator>
  <cp:lastModifiedBy>Yolanda Thomas-Jones</cp:lastModifiedBy>
  <cp:revision>2</cp:revision>
  <cp:lastPrinted>2018-09-11T16:08:00Z</cp:lastPrinted>
  <dcterms:created xsi:type="dcterms:W3CDTF">2018-11-07T15:17:00Z</dcterms:created>
  <dcterms:modified xsi:type="dcterms:W3CDTF">2018-11-07T15:17:00Z</dcterms:modified>
</cp:coreProperties>
</file>